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92026_120818.xml.htm"/>
      <w:bookmarkStart w:id="1" w:name="ksform408192026_1208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Allan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STOKE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WIGGINS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Stoke Therapeutics, Inc.</w:t>
              </w:r>
            </w:hyperlink>
            <w:r>
              <w:rPr/>
              <w:t xml:space="preserve"> [ </w:t>
            </w:r>
            <w:r>
              <w:rPr>
                <w:rFonts w:ascii="Times;serif" w:hAnsi="Times;serif"/>
                <w:color w:val="0000FF"/>
                <w:sz w:val="24"/>
                <w:shd w:fill="FFFFFF" w:val="clear"/>
              </w:rPr>
              <w:t>STOK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&amp; CORP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24,086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32.0072</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21,370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32.4681</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21,225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an Issuer mandated sale to satisfy tax withholding liabilities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$31.40 to $32.36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$32.44 to $32.54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stock unit represents a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Achievement of this performance stock unit award was certified on August 14, 2025. Pursuant to the terms of the award agreement between the reporting person and the Issuer, half the award vested on August 14, 2025 and the remainder vests on August 14, 2026, subject to the reporting person's continued service to the Issuer on the relevant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Allan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6716" TargetMode="External"/><Relationship Id="rId5" Type="http://schemas.openxmlformats.org/officeDocument/2006/relationships/hyperlink" Target="http://www.sec.gov/cgi-bin/browse-edgar?action=getcompany&amp;CIK=0001623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4327</Characters>
  <CharactersWithSpaces>5040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