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63235ds8.htm"/>
      <w:bookmarkStart w:id="1" w:name="ksd63235ds8"/>
      <w:bookmarkEnd w:id="0"/>
      <w:bookmarkEnd w:id="1"/>
      <w:r>
        <w:rPr>
          <w:rFonts w:ascii="Times New Roman" w:hAnsi="Times New Roman"/>
          <w:b/>
          <w:sz w:val="20"/>
        </w:rPr>
        <w:t xml:space="preserve">As filed with the Securities and Exchange Commission on August 3,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sz w:val="24"/>
        </w:rPr>
      </w:pPr>
      <w:r>
        <w:rPr>
          <w:rFonts w:ascii="Times New Roman" w:hAnsi="Times New Roman"/>
          <w:b/>
          <w:sz w:val="24"/>
        </w:rPr>
        <w:t xml:space="preserve">UNDER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STOKE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47-1144582</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45 Wiggins Avenue </w:t>
      </w:r>
    </w:p>
    <w:p>
      <w:pPr>
        <w:pStyle w:val="TextBody"/>
        <w:bidi w:val="0"/>
        <w:spacing w:before="0" w:after="0"/>
        <w:jc w:val="center"/>
        <w:rPr>
          <w:rFonts w:ascii="Times New Roman" w:hAnsi="Times New Roman"/>
          <w:b/>
          <w:sz w:val="20"/>
        </w:rPr>
      </w:pPr>
      <w:r>
        <w:rPr>
          <w:rFonts w:ascii="Times New Roman" w:hAnsi="Times New Roman"/>
          <w:b/>
          <w:sz w:val="20"/>
        </w:rPr>
        <w:t xml:space="preserve">Bedford, MA 01730 </w:t>
      </w:r>
    </w:p>
    <w:p>
      <w:pPr>
        <w:pStyle w:val="TextBody"/>
        <w:bidi w:val="0"/>
        <w:spacing w:before="0" w:after="0"/>
        <w:jc w:val="center"/>
        <w:rPr>
          <w:rFonts w:ascii="Times New Roman" w:hAnsi="Times New Roman"/>
          <w:b/>
          <w:sz w:val="20"/>
        </w:rPr>
      </w:pPr>
      <w:r>
        <w:rPr>
          <w:rFonts w:ascii="Times New Roman" w:hAnsi="Times New Roman"/>
          <w:b/>
          <w:sz w:val="20"/>
        </w:rPr>
        <w:t>(781)-430-8200</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2023 Inducement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240" w:after="0"/>
        <w:jc w:val="center"/>
        <w:rPr>
          <w:rFonts w:ascii="Times New Roman" w:hAnsi="Times New Roman"/>
          <w:b/>
          <w:sz w:val="20"/>
        </w:rPr>
      </w:pPr>
      <w:r>
        <w:rPr>
          <w:rFonts w:ascii="Times New Roman" w:hAnsi="Times New Roman"/>
          <w:b/>
          <w:sz w:val="20"/>
        </w:rPr>
        <w:t xml:space="preserve">Thomas Leggett </w:t>
      </w:r>
    </w:p>
    <w:p>
      <w:pPr>
        <w:pStyle w:val="TextBody"/>
        <w:bidi w:val="0"/>
        <w:spacing w:before="0" w:after="0"/>
        <w:jc w:val="center"/>
        <w:rPr>
          <w:rFonts w:ascii="Times New Roman" w:hAnsi="Times New Roman"/>
          <w:b/>
          <w:sz w:val="20"/>
        </w:rPr>
      </w:pPr>
      <w:r>
        <w:rPr>
          <w:rFonts w:ascii="Times New Roman" w:hAnsi="Times New Roman"/>
          <w:b/>
          <w:sz w:val="20"/>
        </w:rPr>
        <w:t xml:space="preserve">Chief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Stoke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45 Wiggins Avenue </w:t>
      </w:r>
    </w:p>
    <w:p>
      <w:pPr>
        <w:pStyle w:val="TextBody"/>
        <w:bidi w:val="0"/>
        <w:spacing w:before="0" w:after="0"/>
        <w:jc w:val="center"/>
        <w:rPr>
          <w:rFonts w:ascii="Times New Roman" w:hAnsi="Times New Roman"/>
          <w:b/>
          <w:sz w:val="20"/>
        </w:rPr>
      </w:pPr>
      <w:r>
        <w:rPr>
          <w:rFonts w:ascii="Times New Roman" w:hAnsi="Times New Roman"/>
          <w:b/>
          <w:sz w:val="20"/>
        </w:rPr>
        <w:t xml:space="preserve">Bedford, MA 01730 </w:t>
      </w:r>
    </w:p>
    <w:p>
      <w:pPr>
        <w:pStyle w:val="TextBody"/>
        <w:bidi w:val="0"/>
        <w:spacing w:before="0" w:after="0"/>
        <w:jc w:val="center"/>
        <w:rPr>
          <w:rFonts w:ascii="Times New Roman" w:hAnsi="Times New Roman"/>
          <w:b/>
          <w:sz w:val="20"/>
        </w:rPr>
      </w:pPr>
      <w:r>
        <w:rPr>
          <w:rFonts w:ascii="Times New Roman" w:hAnsi="Times New Roman"/>
          <w:b/>
          <w:sz w:val="20"/>
        </w:rPr>
        <w:t>(781)-430-8200</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240" w:after="0"/>
        <w:jc w:val="center"/>
        <w:rPr>
          <w:rFonts w:ascii="Times New Roman" w:hAnsi="Times New Roman"/>
          <w:b/>
          <w:i/>
          <w:sz w:val="20"/>
        </w:rPr>
      </w:pPr>
      <w:r>
        <w:rPr>
          <w:rFonts w:ascii="Times New Roman" w:hAnsi="Times New Roman"/>
          <w:b/>
          <w:i/>
          <w:sz w:val="20"/>
        </w:rPr>
        <w:t xml:space="preserve">Please send copies of all communications to: </w:t>
      </w:r>
    </w:p>
    <w:p>
      <w:pPr>
        <w:pStyle w:val="TextBody"/>
        <w:bidi w:val="0"/>
        <w:spacing w:before="80" w:after="0"/>
        <w:jc w:val="center"/>
        <w:rPr>
          <w:rFonts w:ascii="Times New Roman" w:hAnsi="Times New Roman"/>
          <w:b/>
          <w:sz w:val="20"/>
        </w:rPr>
      </w:pPr>
      <w:r>
        <w:rPr>
          <w:rFonts w:ascii="Times New Roman" w:hAnsi="Times New Roman"/>
          <w:b/>
          <w:sz w:val="20"/>
        </w:rPr>
        <w:t xml:space="preserve">Robert A. Freedman, Esq. </w:t>
      </w:r>
    </w:p>
    <w:p>
      <w:pPr>
        <w:pStyle w:val="TextBody"/>
        <w:bidi w:val="0"/>
        <w:spacing w:before="0" w:after="0"/>
        <w:jc w:val="center"/>
        <w:rPr>
          <w:rFonts w:ascii="Times New Roman" w:hAnsi="Times New Roman"/>
          <w:b/>
          <w:sz w:val="20"/>
        </w:rPr>
      </w:pPr>
      <w:r>
        <w:rPr>
          <w:rFonts w:ascii="Times New Roman" w:hAnsi="Times New Roman"/>
          <w:b/>
          <w:sz w:val="20"/>
        </w:rPr>
        <w:t xml:space="preserve">Amanda Rose, Esq. </w:t>
      </w:r>
    </w:p>
    <w:p>
      <w:pPr>
        <w:pStyle w:val="TextBody"/>
        <w:bidi w:val="0"/>
        <w:spacing w:before="0" w:after="0"/>
        <w:jc w:val="center"/>
        <w:rPr>
          <w:rFonts w:ascii="Times New Roman" w:hAnsi="Times New Roman"/>
          <w:b/>
          <w:sz w:val="20"/>
        </w:rPr>
      </w:pPr>
      <w:r>
        <w:rPr>
          <w:rFonts w:ascii="Times New Roman" w:hAnsi="Times New Roman"/>
          <w:b/>
          <w:sz w:val="20"/>
        </w:rPr>
        <w:t xml:space="preserve">Fenwick &amp; West LLP </w:t>
      </w:r>
    </w:p>
    <w:p>
      <w:pPr>
        <w:pStyle w:val="TextBody"/>
        <w:bidi w:val="0"/>
        <w:spacing w:before="0" w:after="0"/>
        <w:jc w:val="center"/>
        <w:rPr>
          <w:rFonts w:ascii="Times New Roman" w:hAnsi="Times New Roman"/>
          <w:b/>
          <w:sz w:val="20"/>
        </w:rPr>
      </w:pPr>
      <w:r>
        <w:rPr>
          <w:rFonts w:ascii="Times New Roman" w:hAnsi="Times New Roman"/>
          <w:b/>
          <w:sz w:val="20"/>
        </w:rPr>
        <w:t xml:space="preserve">One Front Street 33rd Floor </w:t>
      </w:r>
    </w:p>
    <w:p>
      <w:pPr>
        <w:pStyle w:val="TextBody"/>
        <w:bidi w:val="0"/>
        <w:spacing w:before="0" w:after="0"/>
        <w:jc w:val="center"/>
        <w:rPr>
          <w:rFonts w:ascii="Times New Roman" w:hAnsi="Times New Roman"/>
          <w:b/>
          <w:sz w:val="20"/>
        </w:rPr>
      </w:pPr>
      <w:r>
        <w:rPr>
          <w:rFonts w:ascii="Times New Roman" w:hAnsi="Times New Roman"/>
          <w:b/>
          <w:sz w:val="20"/>
        </w:rPr>
        <w:t xml:space="preserve">San Francisco, California 94111 </w:t>
      </w:r>
    </w:p>
    <w:p>
      <w:pPr>
        <w:pStyle w:val="TextBody"/>
        <w:bidi w:val="0"/>
        <w:spacing w:before="0" w:after="0"/>
        <w:jc w:val="center"/>
        <w:rPr>
          <w:rFonts w:ascii="Times New Roman" w:hAnsi="Times New Roman"/>
          <w:b/>
          <w:sz w:val="20"/>
        </w:rPr>
      </w:pPr>
      <w:r>
        <w:rPr>
          <w:rFonts w:ascii="Times New Roman" w:hAnsi="Times New Roman"/>
          <w:b/>
          <w:sz w:val="20"/>
        </w:rPr>
        <w:t xml:space="preserve">(415) 875-2300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00"/>
        <w:gridCol w:w="103"/>
        <w:gridCol w:w="4780"/>
        <w:gridCol w:w="127"/>
        <w:gridCol w:w="2636"/>
        <w:gridCol w:w="103"/>
        <w:gridCol w:w="256"/>
      </w:tblGrid>
      <w:tr>
        <w:trPr/>
        <w:tc>
          <w:tcPr>
            <w:tcW w:w="220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78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REGISTRATION OF ADDITIONAL SHARES PURSUANT TO GENERAL INSTRUCTION E </w:t>
      </w:r>
    </w:p>
    <w:p>
      <w:pPr>
        <w:pStyle w:val="TextBody"/>
        <w:bidi w:val="0"/>
        <w:spacing w:before="240" w:after="0"/>
        <w:jc w:val="left"/>
        <w:rPr/>
      </w:pPr>
      <w:r>
        <w:rPr>
          <w:rFonts w:ascii="Times New Roman" w:hAnsi="Times New Roman"/>
          <w:sz w:val="20"/>
        </w:rPr>
        <w:t>Pursuant to General Instruction E of Form S-8, Stoke Therapeutics, Inc. (the “</w:t>
      </w:r>
      <w:r>
        <w:rPr>
          <w:rFonts w:ascii="Times New Roman" w:hAnsi="Times New Roman"/>
          <w:b/>
          <w:i/>
          <w:sz w:val="20"/>
        </w:rPr>
        <w:t>Registrant</w:t>
      </w:r>
      <w:r>
        <w:rPr>
          <w:rFonts w:ascii="Times New Roman" w:hAnsi="Times New Roman"/>
          <w:sz w:val="20"/>
        </w:rPr>
        <w:t>”) is filing this Registration Statement with the Securities and Exchange Commission (the “</w:t>
      </w:r>
      <w:r>
        <w:rPr>
          <w:rFonts w:ascii="Times New Roman" w:hAnsi="Times New Roman"/>
          <w:b/>
          <w:i/>
          <w:sz w:val="20"/>
        </w:rPr>
        <w:t>Commission</w:t>
      </w:r>
      <w:r>
        <w:rPr>
          <w:rFonts w:ascii="Times New Roman" w:hAnsi="Times New Roman"/>
          <w:sz w:val="20"/>
        </w:rPr>
        <w:t>”) to register 2,000,000 additional shares of Common Stock available for issuance under the Registrant’s 2023 Inducement Plan (the “</w:t>
      </w:r>
      <w:r>
        <w:rPr>
          <w:rFonts w:ascii="Times New Roman" w:hAnsi="Times New Roman"/>
          <w:b/>
          <w:i/>
          <w:sz w:val="20"/>
        </w:rPr>
        <w:t>2023 Inducement Plan</w:t>
      </w:r>
      <w:r>
        <w:rPr>
          <w:rFonts w:ascii="Times New Roman" w:hAnsi="Times New Roman"/>
          <w:sz w:val="20"/>
        </w:rPr>
        <w:t>”). This Registration Statement hereby incorporates by reference the contents of the Registrant’s Registration Statements on Form S-8 filed with the Commission on April 13, 2023 (Registration No.</w:t>
      </w:r>
      <w:hyperlink r:id="rId2">
        <w:r>
          <w:rPr>
            <w:rStyle w:val="InternetLink"/>
            <w:rFonts w:ascii="Times New Roman" w:hAnsi="Times New Roman"/>
            <w:sz w:val="20"/>
          </w:rPr>
          <w:t> 333-271237</w:t>
        </w:r>
      </w:hyperlink>
      <w:r>
        <w:rPr>
          <w:rFonts w:ascii="Times New Roman" w:hAnsi="Times New Roman"/>
          <w:sz w:val="20"/>
        </w:rPr>
        <w:t>) and July 9, 2025 (Registration No.</w:t>
      </w:r>
      <w:hyperlink r:id="rId3">
        <w:r>
          <w:rPr>
            <w:rStyle w:val="InternetLink"/>
            <w:rFonts w:ascii="Times New Roman" w:hAnsi="Times New Roman"/>
            <w:sz w:val="20"/>
          </w:rPr>
          <w:t>  333-288584</w:t>
        </w:r>
      </w:hyperlink>
      <w:r>
        <w:rPr>
          <w:rFonts w:ascii="Times New Roman" w:hAnsi="Times New Roman"/>
          <w:sz w:val="20"/>
        </w:rPr>
        <w:t xml:space="preserve">) to the extent not superseded hereby. In accordance with the instructional note to Part I of Form S-8 as promulgated by the Commission, the information specified by Part I of Form S-8 has been omitted from this Registration Statement.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The following documents filed by the Registrant with the Commission pursuant to the Securities Act and the Securities Exchange Act of 1934, as amended (the “</w:t>
      </w:r>
      <w:r>
        <w:rPr>
          <w:rFonts w:ascii="Times New Roman" w:hAnsi="Times New Roman"/>
          <w:b/>
          <w:i/>
          <w:sz w:val="20"/>
        </w:rPr>
        <w:t>Exchange Act</w:t>
      </w:r>
      <w:r>
        <w:rPr>
          <w:rFonts w:ascii="Times New Roman" w:hAnsi="Times New Roman"/>
          <w:sz w:val="20"/>
        </w:rPr>
        <w:t xml:space="preserve">”), are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pPr>
            <w:r>
              <w:rPr>
                <w:rFonts w:ascii="Times New Roman" w:hAnsi="Times New Roman"/>
                <w:sz w:val="20"/>
              </w:rPr>
              <w:t xml:space="preserve">the Registrant’s Annual Report on </w:t>
            </w:r>
            <w:hyperlink r:id="rId4">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Commission on March 16,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reports filed pursuant to Section 13(a) or 15(d) of the Exchange Act since the end of the fiscal year covered by the Registrant’s Annual Report referred to in (a) above;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pPr>
            <w:r>
              <w:rPr>
                <w:rFonts w:ascii="Times New Roman" w:hAnsi="Times New Roman"/>
                <w:sz w:val="20"/>
              </w:rPr>
              <w:t xml:space="preserve">the description of the Registrant’s common stock contained in the Registrant’s registration statement on </w:t>
            </w:r>
            <w:hyperlink r:id="rId5">
              <w:r>
                <w:rPr>
                  <w:rStyle w:val="InternetLink"/>
                  <w:rFonts w:ascii="Times New Roman" w:hAnsi="Times New Roman"/>
                  <w:sz w:val="20"/>
                  <w:u w:val="single"/>
                </w:rPr>
                <w:t>Form 8-A</w:t>
              </w:r>
            </w:hyperlink>
            <w:r>
              <w:rPr>
                <w:rFonts w:ascii="Times New Roman" w:hAnsi="Times New Roman"/>
                <w:sz w:val="20"/>
              </w:rPr>
              <w:t xml:space="preserve"> (File No. 001-38938) filed with the Commission on June 11, 2019 under Section 12(b) of the Exchange Act, including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exhibits are filed herewith: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3"/>
        <w:gridCol w:w="145"/>
        <w:gridCol w:w="4033"/>
        <w:gridCol w:w="284"/>
        <w:gridCol w:w="536"/>
        <w:gridCol w:w="191"/>
        <w:gridCol w:w="60"/>
        <w:gridCol w:w="842"/>
        <w:gridCol w:w="60"/>
        <w:gridCol w:w="191"/>
        <w:gridCol w:w="121"/>
        <w:gridCol w:w="674"/>
        <w:gridCol w:w="60"/>
        <w:gridCol w:w="191"/>
        <w:gridCol w:w="60"/>
        <w:gridCol w:w="681"/>
        <w:gridCol w:w="60"/>
        <w:gridCol w:w="190"/>
        <w:gridCol w:w="229"/>
        <w:gridCol w:w="752"/>
        <w:gridCol w:w="72"/>
      </w:tblGrid>
      <w:tr>
        <w:trPr/>
        <w:tc>
          <w:tcPr>
            <w:tcW w:w="77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4033"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773" w:type="dxa"/>
            <w:tcBorders/>
            <w:vAlign w:val="bottom"/>
          </w:tcPr>
          <w:p>
            <w:pPr>
              <w:pStyle w:val="TableContents"/>
              <w:bidi w:val="0"/>
              <w:spacing w:before="0" w:after="283"/>
              <w:jc w:val="center"/>
              <w:rPr>
                <w:b/>
              </w:rPr>
            </w:pPr>
            <w:r>
              <w:rPr>
                <w:b/>
              </w:rPr>
              <w:t>Exhibit</w:t>
            </w:r>
          </w:p>
        </w:tc>
        <w:tc>
          <w:tcPr>
            <w:tcW w:w="145" w:type="dxa"/>
            <w:tcBorders/>
            <w:vAlign w:val="bottom"/>
          </w:tcPr>
          <w:p>
            <w:pPr>
              <w:pStyle w:val="TableContents"/>
              <w:bidi w:val="0"/>
              <w:spacing w:before="0" w:after="283"/>
              <w:jc w:val="left"/>
              <w:rPr/>
            </w:pPr>
            <w:r>
              <w:rPr/>
              <w:t>  </w:t>
            </w:r>
          </w:p>
        </w:tc>
        <w:tc>
          <w:tcPr>
            <w:tcW w:w="4033"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3667" w:type="dxa"/>
            <w:gridSpan w:val="12"/>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Incorporated by Reference</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81" w:type="dxa"/>
            <w:gridSpan w:val="2"/>
            <w:tcBorders/>
            <w:vAlign w:val="bottom"/>
          </w:tcPr>
          <w:p>
            <w:pPr>
              <w:pStyle w:val="TableContents"/>
              <w:bidi w:val="0"/>
              <w:spacing w:before="0" w:after="283"/>
              <w:jc w:val="center"/>
              <w:rPr>
                <w:b/>
              </w:rPr>
            </w:pPr>
            <w:r>
              <w:rPr>
                <w:b/>
              </w:rPr>
              <w:t>Filed</w:t>
            </w:r>
          </w:p>
        </w:tc>
        <w:tc>
          <w:tcPr>
            <w:tcW w:w="72" w:type="dxa"/>
            <w:tcBorders/>
            <w:vAlign w:val="bottom"/>
          </w:tcPr>
          <w:p>
            <w:pPr>
              <w:pStyle w:val="TableContents"/>
              <w:bidi w:val="0"/>
              <w:spacing w:before="0" w:after="283"/>
              <w:jc w:val="left"/>
              <w:rPr/>
            </w:pPr>
            <w:r>
              <w:rPr/>
              <w:t> </w:t>
            </w:r>
          </w:p>
        </w:tc>
      </w:tr>
      <w:tr>
        <w:trPr/>
        <w:tc>
          <w:tcPr>
            <w:tcW w:w="7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Number</w:t>
            </w:r>
          </w:p>
        </w:tc>
        <w:tc>
          <w:tcPr>
            <w:tcW w:w="145" w:type="dxa"/>
            <w:tcBorders/>
            <w:vAlign w:val="bottom"/>
          </w:tcPr>
          <w:p>
            <w:pPr>
              <w:pStyle w:val="TableContents"/>
              <w:bidi w:val="0"/>
              <w:spacing w:before="0" w:after="283"/>
              <w:jc w:val="left"/>
              <w:rPr/>
            </w:pPr>
            <w:r>
              <w:rPr/>
              <w:t>  </w:t>
            </w:r>
          </w:p>
        </w:tc>
        <w:tc>
          <w:tcPr>
            <w:tcW w:w="4033" w:type="dxa"/>
            <w:tcBorders/>
            <w:vAlign w:val="bottom"/>
          </w:tcPr>
          <w:p>
            <w:pPr>
              <w:pStyle w:val="TableContents"/>
              <w:bidi w:val="0"/>
              <w:spacing w:before="0" w:after="283"/>
              <w:jc w:val="center"/>
              <w:rPr>
                <w:b/>
              </w:rPr>
            </w:pPr>
            <w:r>
              <w:rPr>
                <w:b/>
              </w:rPr>
              <w:t>Exhibit Description</w:t>
            </w:r>
          </w:p>
        </w:tc>
        <w:tc>
          <w:tcPr>
            <w:tcW w:w="284" w:type="dxa"/>
            <w:tcBorders/>
            <w:vAlign w:val="bottom"/>
          </w:tcPr>
          <w:p>
            <w:pPr>
              <w:pStyle w:val="TableContents"/>
              <w:bidi w:val="0"/>
              <w:spacing w:before="0" w:after="283"/>
              <w:jc w:val="left"/>
              <w:rPr/>
            </w:pPr>
            <w:r>
              <w:rPr/>
              <w:t>  </w:t>
            </w:r>
          </w:p>
        </w:tc>
        <w:tc>
          <w:tcPr>
            <w:tcW w:w="53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Form</w:t>
            </w:r>
          </w:p>
        </w:tc>
        <w:tc>
          <w:tcPr>
            <w:tcW w:w="191" w:type="dxa"/>
            <w:tcBorders/>
            <w:vAlign w:val="bottom"/>
          </w:tcPr>
          <w:p>
            <w:pPr>
              <w:pStyle w:val="TableContents"/>
              <w:bidi w:val="0"/>
              <w:spacing w:before="0" w:after="283"/>
              <w:jc w:val="left"/>
              <w:rPr/>
            </w:pPr>
            <w:r>
              <w:rPr/>
              <w:t>  </w:t>
            </w:r>
          </w:p>
        </w:tc>
        <w:tc>
          <w:tcPr>
            <w:tcW w:w="9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 No.</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Herewith</w:t>
            </w:r>
          </w:p>
        </w:tc>
        <w:tc>
          <w:tcPr>
            <w:tcW w:w="72" w:type="dxa"/>
            <w:tcBorders/>
            <w:vAlign w:val="bottom"/>
          </w:tcPr>
          <w:p>
            <w:pPr>
              <w:pStyle w:val="TableContents"/>
              <w:bidi w:val="0"/>
              <w:spacing w:before="0" w:after="283"/>
              <w:jc w:val="left"/>
              <w:rPr/>
            </w:pPr>
            <w:r>
              <w:rPr/>
              <w:t> </w:t>
            </w:r>
          </w:p>
        </w:tc>
      </w:tr>
      <w:tr>
        <w:trPr>
          <w:trHeight w:val="120" w:hRule="atLeast"/>
        </w:trPr>
        <w:tc>
          <w:tcPr>
            <w:tcW w:w="773" w:type="dxa"/>
            <w:tcBorders/>
            <w:vAlign w:val="center"/>
          </w:tcPr>
          <w:p>
            <w:pPr>
              <w:pStyle w:val="TableContents"/>
              <w:bidi w:val="0"/>
              <w:spacing w:before="0" w:after="283"/>
              <w:jc w:val="left"/>
              <w:rPr>
                <w:sz w:val="4"/>
                <w:szCs w:val="4"/>
              </w:rPr>
            </w:pPr>
            <w:r>
              <w:rPr>
                <w:sz w:val="4"/>
                <w:szCs w:val="4"/>
              </w:rPr>
            </w:r>
          </w:p>
        </w:tc>
        <w:tc>
          <w:tcPr>
            <w:tcW w:w="4178" w:type="dxa"/>
            <w:gridSpan w:val="2"/>
            <w:tcBorders/>
            <w:vAlign w:val="center"/>
          </w:tcPr>
          <w:p>
            <w:pPr>
              <w:pStyle w:val="TableContents"/>
              <w:bidi w:val="0"/>
              <w:spacing w:before="0" w:after="283"/>
              <w:jc w:val="left"/>
              <w:rPr>
                <w:sz w:val="4"/>
                <w:szCs w:val="4"/>
              </w:rPr>
            </w:pPr>
            <w:r>
              <w:rPr>
                <w:sz w:val="4"/>
                <w:szCs w:val="4"/>
              </w:rPr>
            </w:r>
          </w:p>
        </w:tc>
        <w:tc>
          <w:tcPr>
            <w:tcW w:w="820" w:type="dxa"/>
            <w:gridSpan w:val="2"/>
            <w:tcBorders/>
            <w:vAlign w:val="center"/>
          </w:tcPr>
          <w:p>
            <w:pPr>
              <w:pStyle w:val="TableContents"/>
              <w:bidi w:val="0"/>
              <w:spacing w:before="0" w:after="283"/>
              <w:jc w:val="left"/>
              <w:rPr>
                <w:sz w:val="4"/>
                <w:szCs w:val="4"/>
              </w:rPr>
            </w:pPr>
            <w:r>
              <w:rPr>
                <w:sz w:val="4"/>
                <w:szCs w:val="4"/>
              </w:rPr>
            </w:r>
          </w:p>
        </w:tc>
        <w:tc>
          <w:tcPr>
            <w:tcW w:w="1153" w:type="dxa"/>
            <w:gridSpan w:val="4"/>
            <w:tcBorders/>
            <w:vAlign w:val="center"/>
          </w:tcPr>
          <w:p>
            <w:pPr>
              <w:pStyle w:val="TableContents"/>
              <w:bidi w:val="0"/>
              <w:spacing w:before="0" w:after="283"/>
              <w:jc w:val="left"/>
              <w:rPr>
                <w:sz w:val="4"/>
                <w:szCs w:val="4"/>
              </w:rPr>
            </w:pPr>
            <w:r>
              <w:rPr>
                <w:sz w:val="4"/>
                <w:szCs w:val="4"/>
              </w:rPr>
            </w:r>
          </w:p>
        </w:tc>
        <w:tc>
          <w:tcPr>
            <w:tcW w:w="1046" w:type="dxa"/>
            <w:gridSpan w:val="4"/>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c>
          <w:tcPr>
            <w:tcW w:w="1243" w:type="dxa"/>
            <w:gridSpan w:val="4"/>
            <w:tcBorders/>
            <w:vAlign w:val="center"/>
          </w:tcPr>
          <w:p>
            <w:pPr>
              <w:pStyle w:val="TableContents"/>
              <w:bidi w:val="0"/>
              <w:spacing w:before="0" w:after="283"/>
              <w:jc w:val="left"/>
              <w:rPr>
                <w:sz w:val="4"/>
                <w:szCs w:val="4"/>
              </w:rPr>
            </w:pPr>
            <w:r>
              <w:rPr>
                <w:sz w:val="4"/>
                <w:szCs w:val="4"/>
              </w:rPr>
            </w:r>
          </w:p>
        </w:tc>
      </w:tr>
      <w:tr>
        <w:trPr/>
        <w:tc>
          <w:tcPr>
            <w:tcW w:w="773" w:type="dxa"/>
            <w:tcBorders/>
          </w:tcPr>
          <w:p>
            <w:pPr>
              <w:pStyle w:val="TableContents"/>
              <w:bidi w:val="0"/>
              <w:spacing w:before="0" w:after="283"/>
              <w:jc w:val="left"/>
              <w:rPr/>
            </w:pPr>
            <w:r>
              <w:rPr/>
              <w:t>4.1</w:t>
            </w:r>
          </w:p>
        </w:tc>
        <w:tc>
          <w:tcPr>
            <w:tcW w:w="145" w:type="dxa"/>
            <w:tcBorders/>
            <w:vAlign w:val="bottom"/>
          </w:tcPr>
          <w:p>
            <w:pPr>
              <w:pStyle w:val="TableContents"/>
              <w:bidi w:val="0"/>
              <w:spacing w:before="0" w:after="283"/>
              <w:jc w:val="left"/>
              <w:rPr/>
            </w:pPr>
            <w:r>
              <w:rPr/>
              <w:t>  </w:t>
            </w:r>
          </w:p>
        </w:tc>
        <w:tc>
          <w:tcPr>
            <w:tcW w:w="4033" w:type="dxa"/>
            <w:tcBorders/>
          </w:tcPr>
          <w:p>
            <w:pPr>
              <w:pStyle w:val="TableContents"/>
              <w:bidi w:val="0"/>
              <w:spacing w:before="0" w:after="283"/>
              <w:jc w:val="left"/>
              <w:rPr/>
            </w:pPr>
            <w:hyperlink r:id="rId6">
              <w:r>
                <w:rPr>
                  <w:rStyle w:val="InternetLink"/>
                </w:rPr>
                <w:t>Restated Certificate of Incorporation of the Registrant, as amended</w:t>
              </w:r>
            </w:hyperlink>
          </w:p>
        </w:tc>
        <w:tc>
          <w:tcPr>
            <w:tcW w:w="2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10-K</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001-38938</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3/25/2024</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75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73" w:type="dxa"/>
            <w:tcBorders/>
            <w:vAlign w:val="center"/>
          </w:tcPr>
          <w:p>
            <w:pPr>
              <w:pStyle w:val="TableContents"/>
              <w:bidi w:val="0"/>
              <w:spacing w:before="0" w:after="283"/>
              <w:jc w:val="left"/>
              <w:rPr>
                <w:sz w:val="4"/>
                <w:szCs w:val="4"/>
              </w:rPr>
            </w:pPr>
            <w:r>
              <w:rPr>
                <w:sz w:val="4"/>
                <w:szCs w:val="4"/>
              </w:rPr>
            </w:r>
          </w:p>
        </w:tc>
        <w:tc>
          <w:tcPr>
            <w:tcW w:w="4178" w:type="dxa"/>
            <w:gridSpan w:val="2"/>
            <w:tcBorders/>
            <w:vAlign w:val="center"/>
          </w:tcPr>
          <w:p>
            <w:pPr>
              <w:pStyle w:val="TableContents"/>
              <w:bidi w:val="0"/>
              <w:spacing w:before="0" w:after="283"/>
              <w:jc w:val="left"/>
              <w:rPr>
                <w:sz w:val="4"/>
                <w:szCs w:val="4"/>
              </w:rPr>
            </w:pPr>
            <w:r>
              <w:rPr>
                <w:sz w:val="4"/>
                <w:szCs w:val="4"/>
              </w:rPr>
            </w:r>
          </w:p>
        </w:tc>
        <w:tc>
          <w:tcPr>
            <w:tcW w:w="820" w:type="dxa"/>
            <w:gridSpan w:val="2"/>
            <w:tcBorders/>
            <w:vAlign w:val="center"/>
          </w:tcPr>
          <w:p>
            <w:pPr>
              <w:pStyle w:val="TableContents"/>
              <w:bidi w:val="0"/>
              <w:spacing w:before="0" w:after="283"/>
              <w:jc w:val="left"/>
              <w:rPr>
                <w:sz w:val="4"/>
                <w:szCs w:val="4"/>
              </w:rPr>
            </w:pPr>
            <w:r>
              <w:rPr>
                <w:sz w:val="4"/>
                <w:szCs w:val="4"/>
              </w:rPr>
            </w:r>
          </w:p>
        </w:tc>
        <w:tc>
          <w:tcPr>
            <w:tcW w:w="1153" w:type="dxa"/>
            <w:gridSpan w:val="4"/>
            <w:tcBorders/>
            <w:vAlign w:val="center"/>
          </w:tcPr>
          <w:p>
            <w:pPr>
              <w:pStyle w:val="TableContents"/>
              <w:bidi w:val="0"/>
              <w:spacing w:before="0" w:after="283"/>
              <w:jc w:val="left"/>
              <w:rPr>
                <w:sz w:val="4"/>
                <w:szCs w:val="4"/>
              </w:rPr>
            </w:pPr>
            <w:r>
              <w:rPr>
                <w:sz w:val="4"/>
                <w:szCs w:val="4"/>
              </w:rPr>
            </w:r>
          </w:p>
        </w:tc>
        <w:tc>
          <w:tcPr>
            <w:tcW w:w="1046" w:type="dxa"/>
            <w:gridSpan w:val="4"/>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c>
          <w:tcPr>
            <w:tcW w:w="1243" w:type="dxa"/>
            <w:gridSpan w:val="4"/>
            <w:tcBorders/>
            <w:vAlign w:val="center"/>
          </w:tcPr>
          <w:p>
            <w:pPr>
              <w:pStyle w:val="TableContents"/>
              <w:bidi w:val="0"/>
              <w:spacing w:before="0" w:after="283"/>
              <w:jc w:val="left"/>
              <w:rPr>
                <w:sz w:val="4"/>
                <w:szCs w:val="4"/>
              </w:rPr>
            </w:pPr>
            <w:r>
              <w:rPr>
                <w:sz w:val="4"/>
                <w:szCs w:val="4"/>
              </w:rPr>
            </w:r>
          </w:p>
        </w:tc>
      </w:tr>
      <w:tr>
        <w:trPr/>
        <w:tc>
          <w:tcPr>
            <w:tcW w:w="773" w:type="dxa"/>
            <w:tcBorders/>
          </w:tcPr>
          <w:p>
            <w:pPr>
              <w:pStyle w:val="TableContents"/>
              <w:bidi w:val="0"/>
              <w:spacing w:before="0" w:after="283"/>
              <w:jc w:val="left"/>
              <w:rPr/>
            </w:pPr>
            <w:r>
              <w:rPr/>
              <w:t>4.2</w:t>
            </w:r>
          </w:p>
        </w:tc>
        <w:tc>
          <w:tcPr>
            <w:tcW w:w="145" w:type="dxa"/>
            <w:tcBorders/>
            <w:vAlign w:val="bottom"/>
          </w:tcPr>
          <w:p>
            <w:pPr>
              <w:pStyle w:val="TableContents"/>
              <w:bidi w:val="0"/>
              <w:spacing w:before="0" w:after="283"/>
              <w:jc w:val="left"/>
              <w:rPr/>
            </w:pPr>
            <w:r>
              <w:rPr/>
              <w:t>  </w:t>
            </w:r>
          </w:p>
        </w:tc>
        <w:tc>
          <w:tcPr>
            <w:tcW w:w="4033" w:type="dxa"/>
            <w:tcBorders/>
          </w:tcPr>
          <w:p>
            <w:pPr>
              <w:pStyle w:val="TableContents"/>
              <w:bidi w:val="0"/>
              <w:spacing w:before="0" w:after="283"/>
              <w:jc w:val="left"/>
              <w:rPr/>
            </w:pPr>
            <w:hyperlink r:id="rId7">
              <w:r>
                <w:rPr>
                  <w:rStyle w:val="InternetLink"/>
                </w:rPr>
                <w:t xml:space="preserve">Restated Bylaws of the Registrant </w:t>
              </w:r>
            </w:hyperlink>
          </w:p>
        </w:tc>
        <w:tc>
          <w:tcPr>
            <w:tcW w:w="2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8-K</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001-38938</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2/3/2023</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75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73" w:type="dxa"/>
            <w:tcBorders/>
            <w:vAlign w:val="center"/>
          </w:tcPr>
          <w:p>
            <w:pPr>
              <w:pStyle w:val="TableContents"/>
              <w:bidi w:val="0"/>
              <w:spacing w:before="0" w:after="283"/>
              <w:jc w:val="left"/>
              <w:rPr>
                <w:sz w:val="4"/>
                <w:szCs w:val="4"/>
              </w:rPr>
            </w:pPr>
            <w:r>
              <w:rPr>
                <w:sz w:val="4"/>
                <w:szCs w:val="4"/>
              </w:rPr>
            </w:r>
          </w:p>
        </w:tc>
        <w:tc>
          <w:tcPr>
            <w:tcW w:w="4178" w:type="dxa"/>
            <w:gridSpan w:val="2"/>
            <w:tcBorders/>
            <w:vAlign w:val="center"/>
          </w:tcPr>
          <w:p>
            <w:pPr>
              <w:pStyle w:val="TableContents"/>
              <w:bidi w:val="0"/>
              <w:spacing w:before="0" w:after="283"/>
              <w:jc w:val="left"/>
              <w:rPr>
                <w:sz w:val="4"/>
                <w:szCs w:val="4"/>
              </w:rPr>
            </w:pPr>
            <w:r>
              <w:rPr>
                <w:sz w:val="4"/>
                <w:szCs w:val="4"/>
              </w:rPr>
            </w:r>
          </w:p>
        </w:tc>
        <w:tc>
          <w:tcPr>
            <w:tcW w:w="820" w:type="dxa"/>
            <w:gridSpan w:val="2"/>
            <w:tcBorders/>
            <w:vAlign w:val="center"/>
          </w:tcPr>
          <w:p>
            <w:pPr>
              <w:pStyle w:val="TableContents"/>
              <w:bidi w:val="0"/>
              <w:spacing w:before="0" w:after="283"/>
              <w:jc w:val="left"/>
              <w:rPr>
                <w:sz w:val="4"/>
                <w:szCs w:val="4"/>
              </w:rPr>
            </w:pPr>
            <w:r>
              <w:rPr>
                <w:sz w:val="4"/>
                <w:szCs w:val="4"/>
              </w:rPr>
            </w:r>
          </w:p>
        </w:tc>
        <w:tc>
          <w:tcPr>
            <w:tcW w:w="1153" w:type="dxa"/>
            <w:gridSpan w:val="4"/>
            <w:tcBorders/>
            <w:vAlign w:val="center"/>
          </w:tcPr>
          <w:p>
            <w:pPr>
              <w:pStyle w:val="TableContents"/>
              <w:bidi w:val="0"/>
              <w:spacing w:before="0" w:after="283"/>
              <w:jc w:val="left"/>
              <w:rPr>
                <w:sz w:val="4"/>
                <w:szCs w:val="4"/>
              </w:rPr>
            </w:pPr>
            <w:r>
              <w:rPr>
                <w:sz w:val="4"/>
                <w:szCs w:val="4"/>
              </w:rPr>
            </w:r>
          </w:p>
        </w:tc>
        <w:tc>
          <w:tcPr>
            <w:tcW w:w="1046" w:type="dxa"/>
            <w:gridSpan w:val="4"/>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c>
          <w:tcPr>
            <w:tcW w:w="1243" w:type="dxa"/>
            <w:gridSpan w:val="4"/>
            <w:tcBorders/>
            <w:vAlign w:val="center"/>
          </w:tcPr>
          <w:p>
            <w:pPr>
              <w:pStyle w:val="TableContents"/>
              <w:bidi w:val="0"/>
              <w:spacing w:before="0" w:after="283"/>
              <w:jc w:val="left"/>
              <w:rPr>
                <w:sz w:val="4"/>
                <w:szCs w:val="4"/>
              </w:rPr>
            </w:pPr>
            <w:r>
              <w:rPr>
                <w:sz w:val="4"/>
                <w:szCs w:val="4"/>
              </w:rPr>
            </w:r>
          </w:p>
        </w:tc>
      </w:tr>
      <w:tr>
        <w:trPr/>
        <w:tc>
          <w:tcPr>
            <w:tcW w:w="773" w:type="dxa"/>
            <w:tcBorders/>
          </w:tcPr>
          <w:p>
            <w:pPr>
              <w:pStyle w:val="TableContents"/>
              <w:bidi w:val="0"/>
              <w:spacing w:before="0" w:after="283"/>
              <w:jc w:val="left"/>
              <w:rPr/>
            </w:pPr>
            <w:r>
              <w:rPr/>
              <w:t>4.3</w:t>
            </w:r>
          </w:p>
        </w:tc>
        <w:tc>
          <w:tcPr>
            <w:tcW w:w="145" w:type="dxa"/>
            <w:tcBorders/>
            <w:vAlign w:val="bottom"/>
          </w:tcPr>
          <w:p>
            <w:pPr>
              <w:pStyle w:val="TableContents"/>
              <w:bidi w:val="0"/>
              <w:spacing w:before="0" w:after="283"/>
              <w:jc w:val="left"/>
              <w:rPr/>
            </w:pPr>
            <w:r>
              <w:rPr/>
              <w:t>  </w:t>
            </w:r>
          </w:p>
        </w:tc>
        <w:tc>
          <w:tcPr>
            <w:tcW w:w="4033" w:type="dxa"/>
            <w:tcBorders/>
          </w:tcPr>
          <w:p>
            <w:pPr>
              <w:pStyle w:val="TableContents"/>
              <w:bidi w:val="0"/>
              <w:spacing w:before="0" w:after="283"/>
              <w:jc w:val="left"/>
              <w:rPr/>
            </w:pPr>
            <w:hyperlink r:id="rId8">
              <w:r>
                <w:rPr>
                  <w:rStyle w:val="InternetLink"/>
                </w:rPr>
                <w:t>Form of Registrant’s Common Stock certificate</w:t>
              </w:r>
            </w:hyperlink>
          </w:p>
        </w:tc>
        <w:tc>
          <w:tcPr>
            <w:tcW w:w="2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right"/>
              <w:rPr/>
            </w:pPr>
            <w:r>
              <w:rPr/>
              <w:t>S-1/A</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333-231700</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6/7/2019</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75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73" w:type="dxa"/>
            <w:tcBorders/>
            <w:vAlign w:val="center"/>
          </w:tcPr>
          <w:p>
            <w:pPr>
              <w:pStyle w:val="TableContents"/>
              <w:bidi w:val="0"/>
              <w:spacing w:before="0" w:after="283"/>
              <w:jc w:val="left"/>
              <w:rPr>
                <w:sz w:val="4"/>
                <w:szCs w:val="4"/>
              </w:rPr>
            </w:pPr>
            <w:r>
              <w:rPr>
                <w:sz w:val="4"/>
                <w:szCs w:val="4"/>
              </w:rPr>
            </w:r>
          </w:p>
        </w:tc>
        <w:tc>
          <w:tcPr>
            <w:tcW w:w="4178" w:type="dxa"/>
            <w:gridSpan w:val="2"/>
            <w:tcBorders/>
            <w:vAlign w:val="center"/>
          </w:tcPr>
          <w:p>
            <w:pPr>
              <w:pStyle w:val="TableContents"/>
              <w:bidi w:val="0"/>
              <w:spacing w:before="0" w:after="283"/>
              <w:jc w:val="left"/>
              <w:rPr>
                <w:sz w:val="4"/>
                <w:szCs w:val="4"/>
              </w:rPr>
            </w:pPr>
            <w:r>
              <w:rPr>
                <w:sz w:val="4"/>
                <w:szCs w:val="4"/>
              </w:rPr>
            </w:r>
          </w:p>
        </w:tc>
        <w:tc>
          <w:tcPr>
            <w:tcW w:w="820" w:type="dxa"/>
            <w:gridSpan w:val="2"/>
            <w:tcBorders/>
            <w:vAlign w:val="center"/>
          </w:tcPr>
          <w:p>
            <w:pPr>
              <w:pStyle w:val="TableContents"/>
              <w:bidi w:val="0"/>
              <w:spacing w:before="0" w:after="283"/>
              <w:jc w:val="left"/>
              <w:rPr>
                <w:sz w:val="4"/>
                <w:szCs w:val="4"/>
              </w:rPr>
            </w:pPr>
            <w:r>
              <w:rPr>
                <w:sz w:val="4"/>
                <w:szCs w:val="4"/>
              </w:rPr>
            </w:r>
          </w:p>
        </w:tc>
        <w:tc>
          <w:tcPr>
            <w:tcW w:w="1153" w:type="dxa"/>
            <w:gridSpan w:val="4"/>
            <w:tcBorders/>
            <w:vAlign w:val="center"/>
          </w:tcPr>
          <w:p>
            <w:pPr>
              <w:pStyle w:val="TableContents"/>
              <w:bidi w:val="0"/>
              <w:spacing w:before="0" w:after="283"/>
              <w:jc w:val="left"/>
              <w:rPr>
                <w:sz w:val="4"/>
                <w:szCs w:val="4"/>
              </w:rPr>
            </w:pPr>
            <w:r>
              <w:rPr>
                <w:sz w:val="4"/>
                <w:szCs w:val="4"/>
              </w:rPr>
            </w:r>
          </w:p>
        </w:tc>
        <w:tc>
          <w:tcPr>
            <w:tcW w:w="1046" w:type="dxa"/>
            <w:gridSpan w:val="4"/>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c>
          <w:tcPr>
            <w:tcW w:w="1243" w:type="dxa"/>
            <w:gridSpan w:val="4"/>
            <w:tcBorders/>
            <w:vAlign w:val="center"/>
          </w:tcPr>
          <w:p>
            <w:pPr>
              <w:pStyle w:val="TableContents"/>
              <w:bidi w:val="0"/>
              <w:spacing w:before="0" w:after="283"/>
              <w:jc w:val="left"/>
              <w:rPr>
                <w:sz w:val="4"/>
                <w:szCs w:val="4"/>
              </w:rPr>
            </w:pPr>
            <w:r>
              <w:rPr>
                <w:sz w:val="4"/>
                <w:szCs w:val="4"/>
              </w:rPr>
            </w:r>
          </w:p>
        </w:tc>
      </w:tr>
      <w:tr>
        <w:trPr/>
        <w:tc>
          <w:tcPr>
            <w:tcW w:w="773" w:type="dxa"/>
            <w:tcBorders/>
          </w:tcPr>
          <w:p>
            <w:pPr>
              <w:pStyle w:val="TableContents"/>
              <w:bidi w:val="0"/>
              <w:spacing w:before="0" w:after="283"/>
              <w:jc w:val="left"/>
              <w:rPr/>
            </w:pPr>
            <w:r>
              <w:rPr/>
              <w:t>5.1</w:t>
            </w:r>
          </w:p>
        </w:tc>
        <w:tc>
          <w:tcPr>
            <w:tcW w:w="145" w:type="dxa"/>
            <w:tcBorders/>
            <w:vAlign w:val="bottom"/>
          </w:tcPr>
          <w:p>
            <w:pPr>
              <w:pStyle w:val="TableContents"/>
              <w:bidi w:val="0"/>
              <w:spacing w:before="0" w:after="283"/>
              <w:jc w:val="left"/>
              <w:rPr/>
            </w:pPr>
            <w:r>
              <w:rPr/>
              <w:t>  </w:t>
            </w:r>
          </w:p>
        </w:tc>
        <w:tc>
          <w:tcPr>
            <w:tcW w:w="4033" w:type="dxa"/>
            <w:tcBorders/>
          </w:tcPr>
          <w:p>
            <w:pPr>
              <w:pStyle w:val="TableContents"/>
              <w:bidi w:val="0"/>
              <w:spacing w:before="0" w:after="283"/>
              <w:jc w:val="left"/>
              <w:rPr/>
            </w:pPr>
            <w:hyperlink w:anchor="d63235dex51.htm">
              <w:r>
                <w:rPr>
                  <w:rStyle w:val="InternetLink"/>
                </w:rPr>
                <w:t xml:space="preserve">Opinion of Fenwick &amp; West LLP </w:t>
              </w:r>
            </w:hyperlink>
          </w:p>
        </w:tc>
        <w:tc>
          <w:tcPr>
            <w:tcW w:w="2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283"/>
              <w:jc w:val="right"/>
              <w:rPr/>
            </w:pPr>
            <w:r>
              <w:rPr/>
              <w:t>X</w:t>
            </w:r>
          </w:p>
        </w:tc>
        <w:tc>
          <w:tcPr>
            <w:tcW w:w="72" w:type="dxa"/>
            <w:tcBorders/>
            <w:vAlign w:val="bottom"/>
          </w:tcPr>
          <w:p>
            <w:pPr>
              <w:pStyle w:val="TableContents"/>
              <w:bidi w:val="0"/>
              <w:spacing w:before="0" w:after="283"/>
              <w:jc w:val="left"/>
              <w:rPr/>
            </w:pPr>
            <w:r>
              <w:rPr/>
              <w:t> </w:t>
            </w:r>
          </w:p>
        </w:tc>
      </w:tr>
      <w:tr>
        <w:trPr>
          <w:trHeight w:val="120" w:hRule="atLeast"/>
        </w:trPr>
        <w:tc>
          <w:tcPr>
            <w:tcW w:w="773" w:type="dxa"/>
            <w:tcBorders/>
            <w:vAlign w:val="center"/>
          </w:tcPr>
          <w:p>
            <w:pPr>
              <w:pStyle w:val="TableContents"/>
              <w:bidi w:val="0"/>
              <w:spacing w:before="0" w:after="283"/>
              <w:jc w:val="left"/>
              <w:rPr>
                <w:sz w:val="4"/>
                <w:szCs w:val="4"/>
              </w:rPr>
            </w:pPr>
            <w:r>
              <w:rPr>
                <w:sz w:val="4"/>
                <w:szCs w:val="4"/>
              </w:rPr>
            </w:r>
          </w:p>
        </w:tc>
        <w:tc>
          <w:tcPr>
            <w:tcW w:w="4178" w:type="dxa"/>
            <w:gridSpan w:val="2"/>
            <w:tcBorders/>
            <w:vAlign w:val="center"/>
          </w:tcPr>
          <w:p>
            <w:pPr>
              <w:pStyle w:val="TableContents"/>
              <w:bidi w:val="0"/>
              <w:spacing w:before="0" w:after="283"/>
              <w:jc w:val="left"/>
              <w:rPr>
                <w:sz w:val="4"/>
                <w:szCs w:val="4"/>
              </w:rPr>
            </w:pPr>
            <w:r>
              <w:rPr>
                <w:sz w:val="4"/>
                <w:szCs w:val="4"/>
              </w:rPr>
            </w:r>
          </w:p>
        </w:tc>
        <w:tc>
          <w:tcPr>
            <w:tcW w:w="820" w:type="dxa"/>
            <w:gridSpan w:val="2"/>
            <w:tcBorders/>
            <w:vAlign w:val="center"/>
          </w:tcPr>
          <w:p>
            <w:pPr>
              <w:pStyle w:val="TableContents"/>
              <w:bidi w:val="0"/>
              <w:spacing w:before="0" w:after="283"/>
              <w:jc w:val="left"/>
              <w:rPr>
                <w:sz w:val="4"/>
                <w:szCs w:val="4"/>
              </w:rPr>
            </w:pPr>
            <w:r>
              <w:rPr>
                <w:sz w:val="4"/>
                <w:szCs w:val="4"/>
              </w:rPr>
            </w:r>
          </w:p>
        </w:tc>
        <w:tc>
          <w:tcPr>
            <w:tcW w:w="1153" w:type="dxa"/>
            <w:gridSpan w:val="4"/>
            <w:tcBorders/>
            <w:vAlign w:val="center"/>
          </w:tcPr>
          <w:p>
            <w:pPr>
              <w:pStyle w:val="TableContents"/>
              <w:bidi w:val="0"/>
              <w:spacing w:before="0" w:after="283"/>
              <w:jc w:val="left"/>
              <w:rPr>
                <w:sz w:val="4"/>
                <w:szCs w:val="4"/>
              </w:rPr>
            </w:pPr>
            <w:r>
              <w:rPr>
                <w:sz w:val="4"/>
                <w:szCs w:val="4"/>
              </w:rPr>
            </w:r>
          </w:p>
        </w:tc>
        <w:tc>
          <w:tcPr>
            <w:tcW w:w="1046" w:type="dxa"/>
            <w:gridSpan w:val="4"/>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c>
          <w:tcPr>
            <w:tcW w:w="1243" w:type="dxa"/>
            <w:gridSpan w:val="4"/>
            <w:tcBorders/>
            <w:vAlign w:val="center"/>
          </w:tcPr>
          <w:p>
            <w:pPr>
              <w:pStyle w:val="TableContents"/>
              <w:bidi w:val="0"/>
              <w:spacing w:before="0" w:after="283"/>
              <w:jc w:val="left"/>
              <w:rPr>
                <w:sz w:val="4"/>
                <w:szCs w:val="4"/>
              </w:rPr>
            </w:pPr>
            <w:r>
              <w:rPr>
                <w:sz w:val="4"/>
                <w:szCs w:val="4"/>
              </w:rPr>
            </w:r>
          </w:p>
        </w:tc>
      </w:tr>
      <w:tr>
        <w:trPr/>
        <w:tc>
          <w:tcPr>
            <w:tcW w:w="773" w:type="dxa"/>
            <w:tcBorders/>
          </w:tcPr>
          <w:p>
            <w:pPr>
              <w:pStyle w:val="TableContents"/>
              <w:bidi w:val="0"/>
              <w:spacing w:before="0" w:after="283"/>
              <w:jc w:val="left"/>
              <w:rPr/>
            </w:pPr>
            <w:r>
              <w:rPr/>
              <w:t>23.1</w:t>
            </w:r>
          </w:p>
        </w:tc>
        <w:tc>
          <w:tcPr>
            <w:tcW w:w="145" w:type="dxa"/>
            <w:tcBorders/>
            <w:vAlign w:val="bottom"/>
          </w:tcPr>
          <w:p>
            <w:pPr>
              <w:pStyle w:val="TableContents"/>
              <w:bidi w:val="0"/>
              <w:spacing w:before="0" w:after="283"/>
              <w:jc w:val="left"/>
              <w:rPr/>
            </w:pPr>
            <w:r>
              <w:rPr/>
              <w:t>  </w:t>
            </w:r>
          </w:p>
        </w:tc>
        <w:tc>
          <w:tcPr>
            <w:tcW w:w="4033" w:type="dxa"/>
            <w:tcBorders/>
          </w:tcPr>
          <w:p>
            <w:pPr>
              <w:pStyle w:val="TableContents"/>
              <w:bidi w:val="0"/>
              <w:spacing w:before="0" w:after="283"/>
              <w:jc w:val="left"/>
              <w:rPr/>
            </w:pPr>
            <w:hyperlink w:anchor="d63235dex51.htm">
              <w:r>
                <w:rPr>
                  <w:rStyle w:val="InternetLink"/>
                </w:rPr>
                <w:t xml:space="preserve">Consent of Fenwick &amp; West LLP (contained in Exhibit 5.1) </w:t>
              </w:r>
            </w:hyperlink>
          </w:p>
        </w:tc>
        <w:tc>
          <w:tcPr>
            <w:tcW w:w="2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283"/>
              <w:jc w:val="right"/>
              <w:rPr/>
            </w:pPr>
            <w:r>
              <w:rPr/>
              <w:t>X</w:t>
            </w:r>
          </w:p>
        </w:tc>
        <w:tc>
          <w:tcPr>
            <w:tcW w:w="72" w:type="dxa"/>
            <w:tcBorders/>
            <w:vAlign w:val="bottom"/>
          </w:tcPr>
          <w:p>
            <w:pPr>
              <w:pStyle w:val="TableContents"/>
              <w:bidi w:val="0"/>
              <w:spacing w:before="0" w:after="283"/>
              <w:jc w:val="left"/>
              <w:rPr/>
            </w:pPr>
            <w:r>
              <w:rPr/>
              <w:t> </w:t>
            </w:r>
          </w:p>
        </w:tc>
      </w:tr>
      <w:tr>
        <w:trPr>
          <w:trHeight w:val="120" w:hRule="atLeast"/>
        </w:trPr>
        <w:tc>
          <w:tcPr>
            <w:tcW w:w="773" w:type="dxa"/>
            <w:tcBorders/>
            <w:vAlign w:val="center"/>
          </w:tcPr>
          <w:p>
            <w:pPr>
              <w:pStyle w:val="TableContents"/>
              <w:bidi w:val="0"/>
              <w:spacing w:before="0" w:after="283"/>
              <w:jc w:val="left"/>
              <w:rPr>
                <w:sz w:val="4"/>
                <w:szCs w:val="4"/>
              </w:rPr>
            </w:pPr>
            <w:r>
              <w:rPr>
                <w:sz w:val="4"/>
                <w:szCs w:val="4"/>
              </w:rPr>
            </w:r>
          </w:p>
        </w:tc>
        <w:tc>
          <w:tcPr>
            <w:tcW w:w="4178" w:type="dxa"/>
            <w:gridSpan w:val="2"/>
            <w:tcBorders/>
            <w:vAlign w:val="center"/>
          </w:tcPr>
          <w:p>
            <w:pPr>
              <w:pStyle w:val="TableContents"/>
              <w:bidi w:val="0"/>
              <w:spacing w:before="0" w:after="283"/>
              <w:jc w:val="left"/>
              <w:rPr>
                <w:sz w:val="4"/>
                <w:szCs w:val="4"/>
              </w:rPr>
            </w:pPr>
            <w:r>
              <w:rPr>
                <w:sz w:val="4"/>
                <w:szCs w:val="4"/>
              </w:rPr>
            </w:r>
          </w:p>
        </w:tc>
        <w:tc>
          <w:tcPr>
            <w:tcW w:w="820" w:type="dxa"/>
            <w:gridSpan w:val="2"/>
            <w:tcBorders/>
            <w:vAlign w:val="center"/>
          </w:tcPr>
          <w:p>
            <w:pPr>
              <w:pStyle w:val="TableContents"/>
              <w:bidi w:val="0"/>
              <w:spacing w:before="0" w:after="283"/>
              <w:jc w:val="left"/>
              <w:rPr>
                <w:sz w:val="4"/>
                <w:szCs w:val="4"/>
              </w:rPr>
            </w:pPr>
            <w:r>
              <w:rPr>
                <w:sz w:val="4"/>
                <w:szCs w:val="4"/>
              </w:rPr>
            </w:r>
          </w:p>
        </w:tc>
        <w:tc>
          <w:tcPr>
            <w:tcW w:w="1153" w:type="dxa"/>
            <w:gridSpan w:val="4"/>
            <w:tcBorders/>
            <w:vAlign w:val="center"/>
          </w:tcPr>
          <w:p>
            <w:pPr>
              <w:pStyle w:val="TableContents"/>
              <w:bidi w:val="0"/>
              <w:spacing w:before="0" w:after="283"/>
              <w:jc w:val="left"/>
              <w:rPr>
                <w:sz w:val="4"/>
                <w:szCs w:val="4"/>
              </w:rPr>
            </w:pPr>
            <w:r>
              <w:rPr>
                <w:sz w:val="4"/>
                <w:szCs w:val="4"/>
              </w:rPr>
            </w:r>
          </w:p>
        </w:tc>
        <w:tc>
          <w:tcPr>
            <w:tcW w:w="1046" w:type="dxa"/>
            <w:gridSpan w:val="4"/>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c>
          <w:tcPr>
            <w:tcW w:w="1243" w:type="dxa"/>
            <w:gridSpan w:val="4"/>
            <w:tcBorders/>
            <w:vAlign w:val="center"/>
          </w:tcPr>
          <w:p>
            <w:pPr>
              <w:pStyle w:val="TableContents"/>
              <w:bidi w:val="0"/>
              <w:spacing w:before="0" w:after="283"/>
              <w:jc w:val="left"/>
              <w:rPr>
                <w:sz w:val="4"/>
                <w:szCs w:val="4"/>
              </w:rPr>
            </w:pPr>
            <w:r>
              <w:rPr>
                <w:sz w:val="4"/>
                <w:szCs w:val="4"/>
              </w:rPr>
            </w:r>
          </w:p>
        </w:tc>
      </w:tr>
      <w:tr>
        <w:trPr/>
        <w:tc>
          <w:tcPr>
            <w:tcW w:w="773" w:type="dxa"/>
            <w:tcBorders/>
          </w:tcPr>
          <w:p>
            <w:pPr>
              <w:pStyle w:val="TableContents"/>
              <w:bidi w:val="0"/>
              <w:spacing w:before="0" w:after="283"/>
              <w:jc w:val="left"/>
              <w:rPr/>
            </w:pPr>
            <w:r>
              <w:rPr/>
              <w:t>23.2</w:t>
            </w:r>
          </w:p>
        </w:tc>
        <w:tc>
          <w:tcPr>
            <w:tcW w:w="145" w:type="dxa"/>
            <w:tcBorders/>
            <w:vAlign w:val="bottom"/>
          </w:tcPr>
          <w:p>
            <w:pPr>
              <w:pStyle w:val="TableContents"/>
              <w:bidi w:val="0"/>
              <w:spacing w:before="0" w:after="283"/>
              <w:jc w:val="left"/>
              <w:rPr/>
            </w:pPr>
            <w:r>
              <w:rPr/>
              <w:t>  </w:t>
            </w:r>
          </w:p>
        </w:tc>
        <w:tc>
          <w:tcPr>
            <w:tcW w:w="4033" w:type="dxa"/>
            <w:tcBorders/>
          </w:tcPr>
          <w:p>
            <w:pPr>
              <w:pStyle w:val="TableContents"/>
              <w:bidi w:val="0"/>
              <w:spacing w:before="0" w:after="283"/>
              <w:jc w:val="left"/>
              <w:rPr/>
            </w:pPr>
            <w:hyperlink w:anchor="d63235dex232.htm">
              <w:r>
                <w:rPr>
                  <w:rStyle w:val="InternetLink"/>
                </w:rPr>
                <w:t>Consent of Independent Registered Public Accounting Firm</w:t>
              </w:r>
            </w:hyperlink>
          </w:p>
        </w:tc>
        <w:tc>
          <w:tcPr>
            <w:tcW w:w="2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283"/>
              <w:jc w:val="right"/>
              <w:rPr/>
            </w:pPr>
            <w:r>
              <w:rPr/>
              <w:t>X</w:t>
            </w:r>
          </w:p>
        </w:tc>
        <w:tc>
          <w:tcPr>
            <w:tcW w:w="72" w:type="dxa"/>
            <w:tcBorders/>
            <w:vAlign w:val="bottom"/>
          </w:tcPr>
          <w:p>
            <w:pPr>
              <w:pStyle w:val="TableContents"/>
              <w:bidi w:val="0"/>
              <w:spacing w:before="0" w:after="283"/>
              <w:jc w:val="left"/>
              <w:rPr/>
            </w:pPr>
            <w:r>
              <w:rPr/>
              <w:t> </w:t>
            </w:r>
          </w:p>
        </w:tc>
      </w:tr>
      <w:tr>
        <w:trPr>
          <w:trHeight w:val="120" w:hRule="atLeast"/>
        </w:trPr>
        <w:tc>
          <w:tcPr>
            <w:tcW w:w="773" w:type="dxa"/>
            <w:tcBorders/>
            <w:vAlign w:val="center"/>
          </w:tcPr>
          <w:p>
            <w:pPr>
              <w:pStyle w:val="TableContents"/>
              <w:bidi w:val="0"/>
              <w:spacing w:before="0" w:after="283"/>
              <w:jc w:val="left"/>
              <w:rPr>
                <w:sz w:val="4"/>
                <w:szCs w:val="4"/>
              </w:rPr>
            </w:pPr>
            <w:r>
              <w:rPr>
                <w:sz w:val="4"/>
                <w:szCs w:val="4"/>
              </w:rPr>
            </w:r>
          </w:p>
        </w:tc>
        <w:tc>
          <w:tcPr>
            <w:tcW w:w="4178" w:type="dxa"/>
            <w:gridSpan w:val="2"/>
            <w:tcBorders/>
            <w:vAlign w:val="center"/>
          </w:tcPr>
          <w:p>
            <w:pPr>
              <w:pStyle w:val="TableContents"/>
              <w:bidi w:val="0"/>
              <w:spacing w:before="0" w:after="283"/>
              <w:jc w:val="left"/>
              <w:rPr>
                <w:sz w:val="4"/>
                <w:szCs w:val="4"/>
              </w:rPr>
            </w:pPr>
            <w:r>
              <w:rPr>
                <w:sz w:val="4"/>
                <w:szCs w:val="4"/>
              </w:rPr>
            </w:r>
          </w:p>
        </w:tc>
        <w:tc>
          <w:tcPr>
            <w:tcW w:w="820" w:type="dxa"/>
            <w:gridSpan w:val="2"/>
            <w:tcBorders/>
            <w:vAlign w:val="center"/>
          </w:tcPr>
          <w:p>
            <w:pPr>
              <w:pStyle w:val="TableContents"/>
              <w:bidi w:val="0"/>
              <w:spacing w:before="0" w:after="283"/>
              <w:jc w:val="left"/>
              <w:rPr>
                <w:sz w:val="4"/>
                <w:szCs w:val="4"/>
              </w:rPr>
            </w:pPr>
            <w:r>
              <w:rPr>
                <w:sz w:val="4"/>
                <w:szCs w:val="4"/>
              </w:rPr>
            </w:r>
          </w:p>
        </w:tc>
        <w:tc>
          <w:tcPr>
            <w:tcW w:w="1153" w:type="dxa"/>
            <w:gridSpan w:val="4"/>
            <w:tcBorders/>
            <w:vAlign w:val="center"/>
          </w:tcPr>
          <w:p>
            <w:pPr>
              <w:pStyle w:val="TableContents"/>
              <w:bidi w:val="0"/>
              <w:spacing w:before="0" w:after="283"/>
              <w:jc w:val="left"/>
              <w:rPr>
                <w:sz w:val="4"/>
                <w:szCs w:val="4"/>
              </w:rPr>
            </w:pPr>
            <w:r>
              <w:rPr>
                <w:sz w:val="4"/>
                <w:szCs w:val="4"/>
              </w:rPr>
            </w:r>
          </w:p>
        </w:tc>
        <w:tc>
          <w:tcPr>
            <w:tcW w:w="1046" w:type="dxa"/>
            <w:gridSpan w:val="4"/>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c>
          <w:tcPr>
            <w:tcW w:w="1243" w:type="dxa"/>
            <w:gridSpan w:val="4"/>
            <w:tcBorders/>
            <w:vAlign w:val="center"/>
          </w:tcPr>
          <w:p>
            <w:pPr>
              <w:pStyle w:val="TableContents"/>
              <w:bidi w:val="0"/>
              <w:spacing w:before="0" w:after="283"/>
              <w:jc w:val="left"/>
              <w:rPr>
                <w:sz w:val="4"/>
                <w:szCs w:val="4"/>
              </w:rPr>
            </w:pPr>
            <w:r>
              <w:rPr>
                <w:sz w:val="4"/>
                <w:szCs w:val="4"/>
              </w:rPr>
            </w:r>
          </w:p>
        </w:tc>
      </w:tr>
      <w:tr>
        <w:trPr/>
        <w:tc>
          <w:tcPr>
            <w:tcW w:w="773" w:type="dxa"/>
            <w:tcBorders/>
          </w:tcPr>
          <w:p>
            <w:pPr>
              <w:pStyle w:val="TableContents"/>
              <w:bidi w:val="0"/>
              <w:spacing w:before="0" w:after="283"/>
              <w:jc w:val="left"/>
              <w:rPr/>
            </w:pPr>
            <w:r>
              <w:rPr/>
              <w:t>24.1</w:t>
            </w:r>
          </w:p>
        </w:tc>
        <w:tc>
          <w:tcPr>
            <w:tcW w:w="145" w:type="dxa"/>
            <w:tcBorders/>
            <w:vAlign w:val="bottom"/>
          </w:tcPr>
          <w:p>
            <w:pPr>
              <w:pStyle w:val="TableContents"/>
              <w:bidi w:val="0"/>
              <w:spacing w:before="0" w:after="283"/>
              <w:jc w:val="left"/>
              <w:rPr/>
            </w:pPr>
            <w:r>
              <w:rPr/>
              <w:t>  </w:t>
            </w:r>
          </w:p>
        </w:tc>
        <w:tc>
          <w:tcPr>
            <w:tcW w:w="4033" w:type="dxa"/>
            <w:tcBorders/>
          </w:tcPr>
          <w:p>
            <w:pPr>
              <w:pStyle w:val="TableContents"/>
              <w:bidi w:val="0"/>
              <w:spacing w:before="0" w:after="283"/>
              <w:jc w:val="left"/>
              <w:rPr/>
            </w:pPr>
            <w:hyperlink w:anchor="sig">
              <w:r>
                <w:rPr>
                  <w:rStyle w:val="InternetLink"/>
                </w:rPr>
                <w:t xml:space="preserve">Power of Attorney (included on the signature page to this Registration Statement) </w:t>
              </w:r>
            </w:hyperlink>
          </w:p>
        </w:tc>
        <w:tc>
          <w:tcPr>
            <w:tcW w:w="2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283"/>
              <w:jc w:val="right"/>
              <w:rPr/>
            </w:pPr>
            <w:r>
              <w:rPr/>
              <w:t>X</w:t>
            </w:r>
          </w:p>
        </w:tc>
        <w:tc>
          <w:tcPr>
            <w:tcW w:w="72" w:type="dxa"/>
            <w:tcBorders/>
            <w:vAlign w:val="bottom"/>
          </w:tcPr>
          <w:p>
            <w:pPr>
              <w:pStyle w:val="TableContents"/>
              <w:bidi w:val="0"/>
              <w:spacing w:before="0" w:after="283"/>
              <w:jc w:val="left"/>
              <w:rPr/>
            </w:pPr>
            <w:r>
              <w:rPr/>
              <w:t> </w:t>
            </w:r>
          </w:p>
        </w:tc>
      </w:tr>
      <w:tr>
        <w:trPr>
          <w:trHeight w:val="120" w:hRule="atLeast"/>
        </w:trPr>
        <w:tc>
          <w:tcPr>
            <w:tcW w:w="773" w:type="dxa"/>
            <w:tcBorders/>
            <w:vAlign w:val="center"/>
          </w:tcPr>
          <w:p>
            <w:pPr>
              <w:pStyle w:val="TableContents"/>
              <w:bidi w:val="0"/>
              <w:spacing w:before="0" w:after="283"/>
              <w:jc w:val="left"/>
              <w:rPr>
                <w:sz w:val="4"/>
                <w:szCs w:val="4"/>
              </w:rPr>
            </w:pPr>
            <w:r>
              <w:rPr>
                <w:sz w:val="4"/>
                <w:szCs w:val="4"/>
              </w:rPr>
            </w:r>
          </w:p>
        </w:tc>
        <w:tc>
          <w:tcPr>
            <w:tcW w:w="4178" w:type="dxa"/>
            <w:gridSpan w:val="2"/>
            <w:tcBorders/>
            <w:vAlign w:val="center"/>
          </w:tcPr>
          <w:p>
            <w:pPr>
              <w:pStyle w:val="TableContents"/>
              <w:bidi w:val="0"/>
              <w:spacing w:before="0" w:after="283"/>
              <w:jc w:val="left"/>
              <w:rPr>
                <w:sz w:val="4"/>
                <w:szCs w:val="4"/>
              </w:rPr>
            </w:pPr>
            <w:r>
              <w:rPr>
                <w:sz w:val="4"/>
                <w:szCs w:val="4"/>
              </w:rPr>
            </w:r>
          </w:p>
        </w:tc>
        <w:tc>
          <w:tcPr>
            <w:tcW w:w="820" w:type="dxa"/>
            <w:gridSpan w:val="2"/>
            <w:tcBorders/>
            <w:vAlign w:val="center"/>
          </w:tcPr>
          <w:p>
            <w:pPr>
              <w:pStyle w:val="TableContents"/>
              <w:bidi w:val="0"/>
              <w:spacing w:before="0" w:after="283"/>
              <w:jc w:val="left"/>
              <w:rPr>
                <w:sz w:val="4"/>
                <w:szCs w:val="4"/>
              </w:rPr>
            </w:pPr>
            <w:r>
              <w:rPr>
                <w:sz w:val="4"/>
                <w:szCs w:val="4"/>
              </w:rPr>
            </w:r>
          </w:p>
        </w:tc>
        <w:tc>
          <w:tcPr>
            <w:tcW w:w="1153" w:type="dxa"/>
            <w:gridSpan w:val="4"/>
            <w:tcBorders/>
            <w:vAlign w:val="center"/>
          </w:tcPr>
          <w:p>
            <w:pPr>
              <w:pStyle w:val="TableContents"/>
              <w:bidi w:val="0"/>
              <w:spacing w:before="0" w:after="283"/>
              <w:jc w:val="left"/>
              <w:rPr>
                <w:sz w:val="4"/>
                <w:szCs w:val="4"/>
              </w:rPr>
            </w:pPr>
            <w:r>
              <w:rPr>
                <w:sz w:val="4"/>
                <w:szCs w:val="4"/>
              </w:rPr>
            </w:r>
          </w:p>
        </w:tc>
        <w:tc>
          <w:tcPr>
            <w:tcW w:w="1046" w:type="dxa"/>
            <w:gridSpan w:val="4"/>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c>
          <w:tcPr>
            <w:tcW w:w="1243" w:type="dxa"/>
            <w:gridSpan w:val="4"/>
            <w:tcBorders/>
            <w:vAlign w:val="center"/>
          </w:tcPr>
          <w:p>
            <w:pPr>
              <w:pStyle w:val="TableContents"/>
              <w:bidi w:val="0"/>
              <w:spacing w:before="0" w:after="283"/>
              <w:jc w:val="left"/>
              <w:rPr>
                <w:sz w:val="4"/>
                <w:szCs w:val="4"/>
              </w:rPr>
            </w:pPr>
            <w:r>
              <w:rPr>
                <w:sz w:val="4"/>
                <w:szCs w:val="4"/>
              </w:rPr>
            </w:r>
          </w:p>
        </w:tc>
      </w:tr>
      <w:tr>
        <w:trPr/>
        <w:tc>
          <w:tcPr>
            <w:tcW w:w="773" w:type="dxa"/>
            <w:tcBorders/>
          </w:tcPr>
          <w:p>
            <w:pPr>
              <w:pStyle w:val="TableContents"/>
              <w:bidi w:val="0"/>
              <w:spacing w:before="0" w:after="283"/>
              <w:jc w:val="left"/>
              <w:rPr/>
            </w:pPr>
            <w:r>
              <w:rPr/>
              <w:t>99.1</w:t>
            </w:r>
          </w:p>
        </w:tc>
        <w:tc>
          <w:tcPr>
            <w:tcW w:w="145" w:type="dxa"/>
            <w:tcBorders/>
            <w:vAlign w:val="bottom"/>
          </w:tcPr>
          <w:p>
            <w:pPr>
              <w:pStyle w:val="TableContents"/>
              <w:bidi w:val="0"/>
              <w:spacing w:before="0" w:after="283"/>
              <w:jc w:val="left"/>
              <w:rPr/>
            </w:pPr>
            <w:r>
              <w:rPr/>
              <w:t>  </w:t>
            </w:r>
          </w:p>
        </w:tc>
        <w:tc>
          <w:tcPr>
            <w:tcW w:w="4033" w:type="dxa"/>
            <w:tcBorders/>
          </w:tcPr>
          <w:p>
            <w:pPr>
              <w:pStyle w:val="TableContents"/>
              <w:bidi w:val="0"/>
              <w:spacing w:before="0" w:after="283"/>
              <w:jc w:val="left"/>
              <w:rPr/>
            </w:pPr>
            <w:hyperlink w:anchor="d63235dex991.htm">
              <w:r>
                <w:rPr>
                  <w:rStyle w:val="InternetLink"/>
                </w:rPr>
                <w:t xml:space="preserve">Amended and Restated 2023 Inducement Plan and forms of award agreements thereunder </w:t>
              </w:r>
            </w:hyperlink>
          </w:p>
        </w:tc>
        <w:tc>
          <w:tcPr>
            <w:tcW w:w="2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283"/>
              <w:jc w:val="right"/>
              <w:rPr/>
            </w:pPr>
            <w:r>
              <w:rPr/>
              <w:t>X</w:t>
            </w:r>
          </w:p>
        </w:tc>
        <w:tc>
          <w:tcPr>
            <w:tcW w:w="72" w:type="dxa"/>
            <w:tcBorders/>
            <w:vAlign w:val="bottom"/>
          </w:tcPr>
          <w:p>
            <w:pPr>
              <w:pStyle w:val="TableContents"/>
              <w:bidi w:val="0"/>
              <w:spacing w:before="0" w:after="283"/>
              <w:jc w:val="left"/>
              <w:rPr/>
            </w:pPr>
            <w:r>
              <w:rPr/>
              <w:t> </w:t>
            </w:r>
          </w:p>
        </w:tc>
      </w:tr>
      <w:tr>
        <w:trPr>
          <w:trHeight w:val="120" w:hRule="atLeast"/>
        </w:trPr>
        <w:tc>
          <w:tcPr>
            <w:tcW w:w="773" w:type="dxa"/>
            <w:tcBorders/>
            <w:vAlign w:val="center"/>
          </w:tcPr>
          <w:p>
            <w:pPr>
              <w:pStyle w:val="TableContents"/>
              <w:bidi w:val="0"/>
              <w:spacing w:before="0" w:after="283"/>
              <w:jc w:val="left"/>
              <w:rPr>
                <w:sz w:val="4"/>
                <w:szCs w:val="4"/>
              </w:rPr>
            </w:pPr>
            <w:r>
              <w:rPr>
                <w:sz w:val="4"/>
                <w:szCs w:val="4"/>
              </w:rPr>
            </w:r>
          </w:p>
        </w:tc>
        <w:tc>
          <w:tcPr>
            <w:tcW w:w="4178" w:type="dxa"/>
            <w:gridSpan w:val="2"/>
            <w:tcBorders/>
            <w:vAlign w:val="center"/>
          </w:tcPr>
          <w:p>
            <w:pPr>
              <w:pStyle w:val="TableContents"/>
              <w:bidi w:val="0"/>
              <w:spacing w:before="0" w:after="283"/>
              <w:jc w:val="left"/>
              <w:rPr>
                <w:sz w:val="4"/>
                <w:szCs w:val="4"/>
              </w:rPr>
            </w:pPr>
            <w:r>
              <w:rPr>
                <w:sz w:val="4"/>
                <w:szCs w:val="4"/>
              </w:rPr>
            </w:r>
          </w:p>
        </w:tc>
        <w:tc>
          <w:tcPr>
            <w:tcW w:w="820" w:type="dxa"/>
            <w:gridSpan w:val="2"/>
            <w:tcBorders/>
            <w:vAlign w:val="center"/>
          </w:tcPr>
          <w:p>
            <w:pPr>
              <w:pStyle w:val="TableContents"/>
              <w:bidi w:val="0"/>
              <w:spacing w:before="0" w:after="283"/>
              <w:jc w:val="left"/>
              <w:rPr>
                <w:sz w:val="4"/>
                <w:szCs w:val="4"/>
              </w:rPr>
            </w:pPr>
            <w:r>
              <w:rPr>
                <w:sz w:val="4"/>
                <w:szCs w:val="4"/>
              </w:rPr>
            </w:r>
          </w:p>
        </w:tc>
        <w:tc>
          <w:tcPr>
            <w:tcW w:w="1153" w:type="dxa"/>
            <w:gridSpan w:val="4"/>
            <w:tcBorders/>
            <w:vAlign w:val="center"/>
          </w:tcPr>
          <w:p>
            <w:pPr>
              <w:pStyle w:val="TableContents"/>
              <w:bidi w:val="0"/>
              <w:spacing w:before="0" w:after="283"/>
              <w:jc w:val="left"/>
              <w:rPr>
                <w:sz w:val="4"/>
                <w:szCs w:val="4"/>
              </w:rPr>
            </w:pPr>
            <w:r>
              <w:rPr>
                <w:sz w:val="4"/>
                <w:szCs w:val="4"/>
              </w:rPr>
            </w:r>
          </w:p>
        </w:tc>
        <w:tc>
          <w:tcPr>
            <w:tcW w:w="1046" w:type="dxa"/>
            <w:gridSpan w:val="4"/>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c>
          <w:tcPr>
            <w:tcW w:w="1243" w:type="dxa"/>
            <w:gridSpan w:val="4"/>
            <w:tcBorders/>
            <w:vAlign w:val="center"/>
          </w:tcPr>
          <w:p>
            <w:pPr>
              <w:pStyle w:val="TableContents"/>
              <w:bidi w:val="0"/>
              <w:spacing w:before="0" w:after="283"/>
              <w:jc w:val="left"/>
              <w:rPr>
                <w:sz w:val="4"/>
                <w:szCs w:val="4"/>
              </w:rPr>
            </w:pPr>
            <w:r>
              <w:rPr>
                <w:sz w:val="4"/>
                <w:szCs w:val="4"/>
              </w:rPr>
            </w:r>
          </w:p>
        </w:tc>
      </w:tr>
      <w:tr>
        <w:trPr/>
        <w:tc>
          <w:tcPr>
            <w:tcW w:w="773" w:type="dxa"/>
            <w:tcBorders/>
          </w:tcPr>
          <w:p>
            <w:pPr>
              <w:pStyle w:val="TableContents"/>
              <w:bidi w:val="0"/>
              <w:spacing w:before="0" w:after="283"/>
              <w:jc w:val="left"/>
              <w:rPr/>
            </w:pPr>
            <w:r>
              <w:rPr/>
              <w:t>107.1</w:t>
            </w:r>
          </w:p>
        </w:tc>
        <w:tc>
          <w:tcPr>
            <w:tcW w:w="145" w:type="dxa"/>
            <w:tcBorders/>
            <w:vAlign w:val="bottom"/>
          </w:tcPr>
          <w:p>
            <w:pPr>
              <w:pStyle w:val="TableContents"/>
              <w:bidi w:val="0"/>
              <w:spacing w:before="0" w:after="283"/>
              <w:jc w:val="left"/>
              <w:rPr/>
            </w:pPr>
            <w:r>
              <w:rPr/>
              <w:t>  </w:t>
            </w:r>
          </w:p>
        </w:tc>
        <w:tc>
          <w:tcPr>
            <w:tcW w:w="4033" w:type="dxa"/>
            <w:tcBorders/>
          </w:tcPr>
          <w:p>
            <w:pPr>
              <w:pStyle w:val="TableContents"/>
              <w:bidi w:val="0"/>
              <w:spacing w:before="0" w:after="283"/>
              <w:jc w:val="left"/>
              <w:rPr/>
            </w:pPr>
            <w:hyperlink w:anchor="d63235dexfilingfees.htm">
              <w:r>
                <w:rPr>
                  <w:rStyle w:val="InternetLink"/>
                </w:rPr>
                <w:t xml:space="preserve">Filing Fee Table </w:t>
              </w:r>
            </w:hyperlink>
          </w:p>
        </w:tc>
        <w:tc>
          <w:tcPr>
            <w:tcW w:w="28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283"/>
              <w:jc w:val="right"/>
              <w:rPr/>
            </w:pPr>
            <w:r>
              <w:rPr/>
              <w:t>X</w:t>
            </w:r>
          </w:p>
        </w:tc>
        <w:tc>
          <w:tcPr>
            <w:tcW w:w="7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Bedford, State of Massachusetts, on this 3rd day of August,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STOKE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F. Smith</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Ian F. Smith</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i/>
              </w:rPr>
            </w:pPr>
            <w:r>
              <w:rPr>
                <w:i/>
              </w:rPr>
              <w:t>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b/>
          <w:sz w:val="20"/>
        </w:rPr>
        <w:t>KNOW ALL PERSONS BY THESE PRESENTS</w:t>
      </w:r>
      <w:r>
        <w:rPr>
          <w:rFonts w:ascii="Times New Roman" w:hAnsi="Times New Roman"/>
          <w:sz w:val="20"/>
        </w:rPr>
        <w:t xml:space="preserve">, that each person whose signature appears below hereby constitutes and appoints Ian F. Smith and Thomas E. Leggett, and each of them, as his or her true and lawful attorney-in-fact and agent with the full power of substitution, for him or her in any and all capacities, to sign any and all amendments (including post-effective amendments) to this Registration Statement on Form S-8,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for all intents and purposes as he might or could do in person, hereby ratifying and confirming all that said attorney-in-fact and agent, or his or her substitute,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on behalf of the Registrant in the capacities and on the date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2"/>
        <w:gridCol w:w="121"/>
        <w:gridCol w:w="4352"/>
        <w:gridCol w:w="107"/>
        <w:gridCol w:w="1853"/>
      </w:tblGrid>
      <w:tr>
        <w:trPr/>
        <w:tc>
          <w:tcPr>
            <w:tcW w:w="377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1" w:type="dxa"/>
            <w:tcBorders/>
            <w:vAlign w:val="bottom"/>
          </w:tcPr>
          <w:p>
            <w:pPr>
              <w:pStyle w:val="TableContents"/>
              <w:bidi w:val="0"/>
              <w:spacing w:before="0" w:after="283"/>
              <w:jc w:val="left"/>
              <w:rPr/>
            </w:pPr>
            <w:r>
              <w:rPr/>
              <w:t>  </w:t>
            </w:r>
          </w:p>
        </w:tc>
        <w:tc>
          <w:tcPr>
            <w:tcW w:w="435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2" w:type="dxa"/>
            <w:tcBorders/>
            <w:vAlign w:val="center"/>
          </w:tcPr>
          <w:p>
            <w:pPr>
              <w:pStyle w:val="TableContents"/>
              <w:bidi w:val="0"/>
              <w:spacing w:before="0" w:after="283"/>
              <w:jc w:val="left"/>
              <w:rPr>
                <w:sz w:val="4"/>
                <w:szCs w:val="4"/>
              </w:rPr>
            </w:pPr>
            <w:r>
              <w:rPr>
                <w:sz w:val="4"/>
                <w:szCs w:val="4"/>
              </w:rPr>
            </w:r>
          </w:p>
        </w:tc>
        <w:tc>
          <w:tcPr>
            <w:tcW w:w="4473"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Ian F. Smith</w:t>
            </w:r>
          </w:p>
          <w:p>
            <w:pPr>
              <w:pStyle w:val="TableContents"/>
              <w:bidi w:val="0"/>
              <w:spacing w:before="0" w:after="20"/>
              <w:jc w:val="left"/>
              <w:rPr>
                <w:rFonts w:ascii="Times New Roman" w:hAnsi="Times New Roman"/>
                <w:sz w:val="20"/>
              </w:rPr>
            </w:pPr>
            <w:r>
              <w:rPr>
                <w:rFonts w:ascii="Times New Roman" w:hAnsi="Times New Roman"/>
                <w:sz w:val="20"/>
              </w:rPr>
              <w:t>Ian F. Smith</w:t>
            </w:r>
          </w:p>
        </w:tc>
        <w:tc>
          <w:tcPr>
            <w:tcW w:w="121" w:type="dxa"/>
            <w:tcBorders/>
            <w:vAlign w:val="bottom"/>
          </w:tcPr>
          <w:p>
            <w:pPr>
              <w:pStyle w:val="TableContents"/>
              <w:bidi w:val="0"/>
              <w:spacing w:before="0" w:after="283"/>
              <w:jc w:val="left"/>
              <w:rPr/>
            </w:pPr>
            <w:r>
              <w:rPr/>
              <w:t>  </w:t>
            </w:r>
          </w:p>
        </w:tc>
        <w:tc>
          <w:tcPr>
            <w:tcW w:w="4352"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3, 2026</w:t>
            </w:r>
          </w:p>
        </w:tc>
      </w:tr>
      <w:tr>
        <w:trPr>
          <w:trHeight w:val="240" w:hRule="atLeast"/>
        </w:trPr>
        <w:tc>
          <w:tcPr>
            <w:tcW w:w="3772" w:type="dxa"/>
            <w:tcBorders/>
            <w:vAlign w:val="center"/>
          </w:tcPr>
          <w:p>
            <w:pPr>
              <w:pStyle w:val="TableContents"/>
              <w:bidi w:val="0"/>
              <w:spacing w:before="0" w:after="283"/>
              <w:jc w:val="left"/>
              <w:rPr>
                <w:sz w:val="4"/>
                <w:szCs w:val="4"/>
              </w:rPr>
            </w:pPr>
            <w:r>
              <w:rPr>
                <w:sz w:val="4"/>
                <w:szCs w:val="4"/>
              </w:rPr>
            </w:r>
          </w:p>
        </w:tc>
        <w:tc>
          <w:tcPr>
            <w:tcW w:w="4473"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E. Leggett</w:t>
            </w:r>
          </w:p>
          <w:p>
            <w:pPr>
              <w:pStyle w:val="TableContents"/>
              <w:bidi w:val="0"/>
              <w:spacing w:before="0" w:after="20"/>
              <w:jc w:val="left"/>
              <w:rPr>
                <w:rFonts w:ascii="Times New Roman" w:hAnsi="Times New Roman"/>
                <w:sz w:val="20"/>
              </w:rPr>
            </w:pPr>
            <w:r>
              <w:rPr>
                <w:rFonts w:ascii="Times New Roman" w:hAnsi="Times New Roman"/>
                <w:sz w:val="20"/>
              </w:rPr>
              <w:t>Thomas E. Leggett</w:t>
            </w:r>
          </w:p>
        </w:tc>
        <w:tc>
          <w:tcPr>
            <w:tcW w:w="121" w:type="dxa"/>
            <w:tcBorders/>
            <w:vAlign w:val="bottom"/>
          </w:tcPr>
          <w:p>
            <w:pPr>
              <w:pStyle w:val="TableContents"/>
              <w:bidi w:val="0"/>
              <w:spacing w:before="0" w:after="283"/>
              <w:jc w:val="left"/>
              <w:rPr/>
            </w:pPr>
            <w:r>
              <w:rPr/>
              <w:t>  </w:t>
            </w:r>
          </w:p>
        </w:tc>
        <w:tc>
          <w:tcPr>
            <w:tcW w:w="4352"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and Accounting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3, 2026</w:t>
            </w:r>
          </w:p>
        </w:tc>
      </w:tr>
      <w:tr>
        <w:trPr>
          <w:trHeight w:val="240" w:hRule="atLeast"/>
        </w:trPr>
        <w:tc>
          <w:tcPr>
            <w:tcW w:w="3772" w:type="dxa"/>
            <w:tcBorders/>
            <w:vAlign w:val="center"/>
          </w:tcPr>
          <w:p>
            <w:pPr>
              <w:pStyle w:val="TableContents"/>
              <w:bidi w:val="0"/>
              <w:spacing w:before="0" w:after="283"/>
              <w:jc w:val="left"/>
              <w:rPr>
                <w:sz w:val="4"/>
                <w:szCs w:val="4"/>
              </w:rPr>
            </w:pPr>
            <w:r>
              <w:rPr>
                <w:sz w:val="4"/>
                <w:szCs w:val="4"/>
              </w:rPr>
            </w:r>
          </w:p>
        </w:tc>
        <w:tc>
          <w:tcPr>
            <w:tcW w:w="4473"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Jennifer C. Burstein</w:t>
            </w:r>
          </w:p>
          <w:p>
            <w:pPr>
              <w:pStyle w:val="TableContents"/>
              <w:bidi w:val="0"/>
              <w:spacing w:before="0" w:after="20"/>
              <w:jc w:val="left"/>
              <w:rPr>
                <w:rFonts w:ascii="Times New Roman" w:hAnsi="Times New Roman"/>
                <w:sz w:val="20"/>
              </w:rPr>
            </w:pPr>
            <w:r>
              <w:rPr>
                <w:rFonts w:ascii="Times New Roman" w:hAnsi="Times New Roman"/>
                <w:sz w:val="20"/>
              </w:rPr>
              <w:t>Jennifer C. Burstein</w:t>
            </w:r>
          </w:p>
        </w:tc>
        <w:tc>
          <w:tcPr>
            <w:tcW w:w="121" w:type="dxa"/>
            <w:tcBorders/>
            <w:vAlign w:val="bottom"/>
          </w:tcPr>
          <w:p>
            <w:pPr>
              <w:pStyle w:val="TableContents"/>
              <w:bidi w:val="0"/>
              <w:spacing w:before="0" w:after="283"/>
              <w:jc w:val="left"/>
              <w:rPr/>
            </w:pPr>
            <w:r>
              <w:rPr/>
              <w:t>  </w:t>
            </w:r>
          </w:p>
        </w:tc>
        <w:tc>
          <w:tcPr>
            <w:tcW w:w="435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3, 2026</w:t>
            </w:r>
          </w:p>
        </w:tc>
      </w:tr>
      <w:tr>
        <w:trPr>
          <w:trHeight w:val="240" w:hRule="atLeast"/>
        </w:trPr>
        <w:tc>
          <w:tcPr>
            <w:tcW w:w="3772" w:type="dxa"/>
            <w:tcBorders/>
            <w:vAlign w:val="center"/>
          </w:tcPr>
          <w:p>
            <w:pPr>
              <w:pStyle w:val="TableContents"/>
              <w:bidi w:val="0"/>
              <w:spacing w:before="0" w:after="283"/>
              <w:jc w:val="left"/>
              <w:rPr>
                <w:sz w:val="4"/>
                <w:szCs w:val="4"/>
              </w:rPr>
            </w:pPr>
            <w:r>
              <w:rPr>
                <w:sz w:val="4"/>
                <w:szCs w:val="4"/>
              </w:rPr>
            </w:r>
          </w:p>
        </w:tc>
        <w:tc>
          <w:tcPr>
            <w:tcW w:w="4473"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Seth L. Harrison</w:t>
            </w:r>
          </w:p>
          <w:p>
            <w:pPr>
              <w:pStyle w:val="TableContents"/>
              <w:bidi w:val="0"/>
              <w:spacing w:before="0" w:after="20"/>
              <w:jc w:val="left"/>
              <w:rPr>
                <w:rFonts w:ascii="Times New Roman" w:hAnsi="Times New Roman"/>
                <w:sz w:val="20"/>
              </w:rPr>
            </w:pPr>
            <w:r>
              <w:rPr>
                <w:rFonts w:ascii="Times New Roman" w:hAnsi="Times New Roman"/>
                <w:sz w:val="20"/>
              </w:rPr>
              <w:t>Seth L. Harrison, M.D.</w:t>
            </w:r>
          </w:p>
        </w:tc>
        <w:tc>
          <w:tcPr>
            <w:tcW w:w="121" w:type="dxa"/>
            <w:tcBorders/>
            <w:vAlign w:val="bottom"/>
          </w:tcPr>
          <w:p>
            <w:pPr>
              <w:pStyle w:val="TableContents"/>
              <w:bidi w:val="0"/>
              <w:spacing w:before="0" w:after="283"/>
              <w:jc w:val="left"/>
              <w:rPr/>
            </w:pPr>
            <w:r>
              <w:rPr/>
              <w:t>  </w:t>
            </w:r>
          </w:p>
        </w:tc>
        <w:tc>
          <w:tcPr>
            <w:tcW w:w="435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3, 2026</w:t>
            </w:r>
          </w:p>
        </w:tc>
      </w:tr>
      <w:tr>
        <w:trPr>
          <w:trHeight w:val="240" w:hRule="atLeast"/>
        </w:trPr>
        <w:tc>
          <w:tcPr>
            <w:tcW w:w="3772" w:type="dxa"/>
            <w:tcBorders/>
            <w:vAlign w:val="center"/>
          </w:tcPr>
          <w:p>
            <w:pPr>
              <w:pStyle w:val="TableContents"/>
              <w:bidi w:val="0"/>
              <w:spacing w:before="0" w:after="283"/>
              <w:jc w:val="left"/>
              <w:rPr>
                <w:sz w:val="4"/>
                <w:szCs w:val="4"/>
              </w:rPr>
            </w:pPr>
            <w:r>
              <w:rPr>
                <w:sz w:val="4"/>
                <w:szCs w:val="4"/>
              </w:rPr>
            </w:r>
          </w:p>
        </w:tc>
        <w:tc>
          <w:tcPr>
            <w:tcW w:w="4473"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Edward M. Kaye</w:t>
            </w:r>
          </w:p>
          <w:p>
            <w:pPr>
              <w:pStyle w:val="TableContents"/>
              <w:bidi w:val="0"/>
              <w:spacing w:before="0" w:after="20"/>
              <w:jc w:val="left"/>
              <w:rPr>
                <w:rFonts w:ascii="Times New Roman" w:hAnsi="Times New Roman"/>
                <w:sz w:val="20"/>
              </w:rPr>
            </w:pPr>
            <w:r>
              <w:rPr>
                <w:rFonts w:ascii="Times New Roman" w:hAnsi="Times New Roman"/>
                <w:sz w:val="20"/>
              </w:rPr>
              <w:t>Edward M. Kaye, M.D.</w:t>
            </w:r>
          </w:p>
        </w:tc>
        <w:tc>
          <w:tcPr>
            <w:tcW w:w="121" w:type="dxa"/>
            <w:tcBorders/>
            <w:vAlign w:val="bottom"/>
          </w:tcPr>
          <w:p>
            <w:pPr>
              <w:pStyle w:val="TableContents"/>
              <w:bidi w:val="0"/>
              <w:spacing w:before="0" w:after="283"/>
              <w:jc w:val="left"/>
              <w:rPr/>
            </w:pPr>
            <w:r>
              <w:rPr/>
              <w:t>  </w:t>
            </w:r>
          </w:p>
        </w:tc>
        <w:tc>
          <w:tcPr>
            <w:tcW w:w="435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3, 2026</w:t>
            </w:r>
          </w:p>
        </w:tc>
      </w:tr>
      <w:tr>
        <w:trPr>
          <w:trHeight w:val="240" w:hRule="atLeast"/>
        </w:trPr>
        <w:tc>
          <w:tcPr>
            <w:tcW w:w="3772" w:type="dxa"/>
            <w:tcBorders/>
            <w:vAlign w:val="center"/>
          </w:tcPr>
          <w:p>
            <w:pPr>
              <w:pStyle w:val="TableContents"/>
              <w:bidi w:val="0"/>
              <w:spacing w:before="0" w:after="283"/>
              <w:jc w:val="left"/>
              <w:rPr>
                <w:sz w:val="4"/>
                <w:szCs w:val="4"/>
              </w:rPr>
            </w:pPr>
            <w:r>
              <w:rPr>
                <w:sz w:val="4"/>
                <w:szCs w:val="4"/>
              </w:rPr>
            </w:r>
          </w:p>
        </w:tc>
        <w:tc>
          <w:tcPr>
            <w:tcW w:w="4473"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Adrian R. Krainer</w:t>
            </w:r>
          </w:p>
          <w:p>
            <w:pPr>
              <w:pStyle w:val="TableContents"/>
              <w:bidi w:val="0"/>
              <w:spacing w:before="0" w:after="20"/>
              <w:jc w:val="left"/>
              <w:rPr>
                <w:rFonts w:ascii="Times New Roman" w:hAnsi="Times New Roman"/>
                <w:sz w:val="20"/>
              </w:rPr>
            </w:pPr>
            <w:r>
              <w:rPr>
                <w:rFonts w:ascii="Times New Roman" w:hAnsi="Times New Roman"/>
                <w:sz w:val="20"/>
              </w:rPr>
              <w:t>Adrian R. Krainer, Ph.D.</w:t>
            </w:r>
          </w:p>
        </w:tc>
        <w:tc>
          <w:tcPr>
            <w:tcW w:w="121" w:type="dxa"/>
            <w:tcBorders/>
            <w:vAlign w:val="bottom"/>
          </w:tcPr>
          <w:p>
            <w:pPr>
              <w:pStyle w:val="TableContents"/>
              <w:bidi w:val="0"/>
              <w:spacing w:before="0" w:after="283"/>
              <w:jc w:val="left"/>
              <w:rPr/>
            </w:pPr>
            <w:r>
              <w:rPr/>
              <w:t>  </w:t>
            </w:r>
          </w:p>
        </w:tc>
        <w:tc>
          <w:tcPr>
            <w:tcW w:w="435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3, 2026</w:t>
            </w:r>
          </w:p>
        </w:tc>
      </w:tr>
      <w:tr>
        <w:trPr>
          <w:trHeight w:val="240" w:hRule="atLeast"/>
        </w:trPr>
        <w:tc>
          <w:tcPr>
            <w:tcW w:w="3772" w:type="dxa"/>
            <w:tcBorders/>
            <w:vAlign w:val="center"/>
          </w:tcPr>
          <w:p>
            <w:pPr>
              <w:pStyle w:val="TableContents"/>
              <w:bidi w:val="0"/>
              <w:spacing w:before="0" w:after="283"/>
              <w:jc w:val="left"/>
              <w:rPr>
                <w:sz w:val="4"/>
                <w:szCs w:val="4"/>
              </w:rPr>
            </w:pPr>
            <w:r>
              <w:rPr>
                <w:sz w:val="4"/>
                <w:szCs w:val="4"/>
              </w:rPr>
            </w:r>
          </w:p>
        </w:tc>
        <w:tc>
          <w:tcPr>
            <w:tcW w:w="4473"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Arthur A. Levin</w:t>
            </w:r>
          </w:p>
          <w:p>
            <w:pPr>
              <w:pStyle w:val="TableContents"/>
              <w:bidi w:val="0"/>
              <w:spacing w:before="0" w:after="20"/>
              <w:jc w:val="left"/>
              <w:rPr>
                <w:rFonts w:ascii="Times New Roman" w:hAnsi="Times New Roman"/>
                <w:sz w:val="20"/>
              </w:rPr>
            </w:pPr>
            <w:r>
              <w:rPr>
                <w:rFonts w:ascii="Times New Roman" w:hAnsi="Times New Roman"/>
                <w:sz w:val="20"/>
              </w:rPr>
              <w:t>Arthur A. Levin, Ph.D.</w:t>
            </w:r>
          </w:p>
        </w:tc>
        <w:tc>
          <w:tcPr>
            <w:tcW w:w="121" w:type="dxa"/>
            <w:tcBorders/>
            <w:vAlign w:val="bottom"/>
          </w:tcPr>
          <w:p>
            <w:pPr>
              <w:pStyle w:val="TableContents"/>
              <w:bidi w:val="0"/>
              <w:spacing w:before="0" w:after="283"/>
              <w:jc w:val="left"/>
              <w:rPr/>
            </w:pPr>
            <w:r>
              <w:rPr/>
              <w:t>  </w:t>
            </w:r>
          </w:p>
        </w:tc>
        <w:tc>
          <w:tcPr>
            <w:tcW w:w="435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3, 2026</w:t>
            </w:r>
          </w:p>
        </w:tc>
      </w:tr>
      <w:tr>
        <w:trPr>
          <w:trHeight w:val="240" w:hRule="atLeast"/>
        </w:trPr>
        <w:tc>
          <w:tcPr>
            <w:tcW w:w="3772" w:type="dxa"/>
            <w:tcBorders/>
            <w:vAlign w:val="center"/>
          </w:tcPr>
          <w:p>
            <w:pPr>
              <w:pStyle w:val="TableContents"/>
              <w:bidi w:val="0"/>
              <w:spacing w:before="0" w:after="283"/>
              <w:jc w:val="left"/>
              <w:rPr>
                <w:sz w:val="4"/>
                <w:szCs w:val="4"/>
              </w:rPr>
            </w:pPr>
            <w:r>
              <w:rPr>
                <w:sz w:val="4"/>
                <w:szCs w:val="4"/>
              </w:rPr>
            </w:r>
          </w:p>
        </w:tc>
        <w:tc>
          <w:tcPr>
            <w:tcW w:w="4473"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Clare Kahn</w:t>
            </w:r>
          </w:p>
          <w:p>
            <w:pPr>
              <w:pStyle w:val="TableContents"/>
              <w:bidi w:val="0"/>
              <w:spacing w:before="0" w:after="20"/>
              <w:jc w:val="left"/>
              <w:rPr>
                <w:rFonts w:ascii="Times New Roman" w:hAnsi="Times New Roman"/>
                <w:sz w:val="20"/>
              </w:rPr>
            </w:pPr>
            <w:r>
              <w:rPr>
                <w:rFonts w:ascii="Times New Roman" w:hAnsi="Times New Roman"/>
                <w:sz w:val="20"/>
              </w:rPr>
              <w:t>Clare Kahn, Ph.D.</w:t>
            </w:r>
          </w:p>
        </w:tc>
        <w:tc>
          <w:tcPr>
            <w:tcW w:w="121" w:type="dxa"/>
            <w:tcBorders/>
            <w:vAlign w:val="bottom"/>
          </w:tcPr>
          <w:p>
            <w:pPr>
              <w:pStyle w:val="TableContents"/>
              <w:bidi w:val="0"/>
              <w:spacing w:before="0" w:after="283"/>
              <w:jc w:val="left"/>
              <w:rPr/>
            </w:pPr>
            <w:r>
              <w:rPr/>
              <w:t>  </w:t>
            </w:r>
          </w:p>
        </w:tc>
        <w:tc>
          <w:tcPr>
            <w:tcW w:w="435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3, 2026</w:t>
            </w:r>
          </w:p>
        </w:tc>
      </w:tr>
      <w:tr>
        <w:trPr>
          <w:trHeight w:val="240" w:hRule="atLeast"/>
        </w:trPr>
        <w:tc>
          <w:tcPr>
            <w:tcW w:w="3772" w:type="dxa"/>
            <w:tcBorders/>
            <w:vAlign w:val="center"/>
          </w:tcPr>
          <w:p>
            <w:pPr>
              <w:pStyle w:val="TableContents"/>
              <w:bidi w:val="0"/>
              <w:spacing w:before="0" w:after="283"/>
              <w:jc w:val="left"/>
              <w:rPr>
                <w:sz w:val="4"/>
                <w:szCs w:val="4"/>
              </w:rPr>
            </w:pPr>
            <w:r>
              <w:rPr>
                <w:sz w:val="4"/>
                <w:szCs w:val="4"/>
              </w:rPr>
            </w:r>
          </w:p>
        </w:tc>
        <w:tc>
          <w:tcPr>
            <w:tcW w:w="4473"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Julie Anne Smith</w:t>
            </w:r>
          </w:p>
          <w:p>
            <w:pPr>
              <w:pStyle w:val="TableContents"/>
              <w:bidi w:val="0"/>
              <w:spacing w:before="0" w:after="20"/>
              <w:jc w:val="left"/>
              <w:rPr>
                <w:rFonts w:ascii="Times New Roman" w:hAnsi="Times New Roman"/>
                <w:sz w:val="20"/>
              </w:rPr>
            </w:pPr>
            <w:r>
              <w:rPr>
                <w:rFonts w:ascii="Times New Roman" w:hAnsi="Times New Roman"/>
                <w:sz w:val="20"/>
              </w:rPr>
              <w:t>Julie Anne Smith</w:t>
            </w:r>
          </w:p>
        </w:tc>
        <w:tc>
          <w:tcPr>
            <w:tcW w:w="121" w:type="dxa"/>
            <w:tcBorders/>
            <w:vAlign w:val="bottom"/>
          </w:tcPr>
          <w:p>
            <w:pPr>
              <w:pStyle w:val="TableContents"/>
              <w:bidi w:val="0"/>
              <w:spacing w:before="0" w:after="283"/>
              <w:jc w:val="left"/>
              <w:rPr/>
            </w:pPr>
            <w:r>
              <w:rPr/>
              <w:t>  </w:t>
            </w:r>
          </w:p>
        </w:tc>
        <w:tc>
          <w:tcPr>
            <w:tcW w:w="435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3, 2026</w:t>
            </w:r>
          </w:p>
        </w:tc>
      </w:tr>
      <w:tr>
        <w:trPr>
          <w:trHeight w:val="240" w:hRule="atLeast"/>
        </w:trPr>
        <w:tc>
          <w:tcPr>
            <w:tcW w:w="3772" w:type="dxa"/>
            <w:tcBorders/>
            <w:vAlign w:val="center"/>
          </w:tcPr>
          <w:p>
            <w:pPr>
              <w:pStyle w:val="TableContents"/>
              <w:bidi w:val="0"/>
              <w:spacing w:before="0" w:after="283"/>
              <w:jc w:val="left"/>
              <w:rPr>
                <w:sz w:val="4"/>
                <w:szCs w:val="4"/>
              </w:rPr>
            </w:pPr>
            <w:r>
              <w:rPr>
                <w:sz w:val="4"/>
                <w:szCs w:val="4"/>
              </w:rPr>
            </w:r>
          </w:p>
        </w:tc>
        <w:tc>
          <w:tcPr>
            <w:tcW w:w="4473"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Arthur O. Tzianabos</w:t>
            </w:r>
          </w:p>
          <w:p>
            <w:pPr>
              <w:pStyle w:val="TableContents"/>
              <w:bidi w:val="0"/>
              <w:spacing w:before="0" w:after="20"/>
              <w:jc w:val="left"/>
              <w:rPr>
                <w:rFonts w:ascii="Times New Roman" w:hAnsi="Times New Roman"/>
                <w:sz w:val="20"/>
              </w:rPr>
            </w:pPr>
            <w:r>
              <w:rPr>
                <w:rFonts w:ascii="Times New Roman" w:hAnsi="Times New Roman"/>
                <w:sz w:val="20"/>
              </w:rPr>
              <w:t>Arthur O. Tzianabos, Ph.D.</w:t>
            </w:r>
          </w:p>
        </w:tc>
        <w:tc>
          <w:tcPr>
            <w:tcW w:w="121" w:type="dxa"/>
            <w:tcBorders/>
            <w:vAlign w:val="bottom"/>
          </w:tcPr>
          <w:p>
            <w:pPr>
              <w:pStyle w:val="TableContents"/>
              <w:bidi w:val="0"/>
              <w:spacing w:before="0" w:after="283"/>
              <w:jc w:val="left"/>
              <w:rPr/>
            </w:pPr>
            <w:r>
              <w:rPr/>
              <w:t>  </w:t>
            </w:r>
          </w:p>
        </w:tc>
        <w:tc>
          <w:tcPr>
            <w:tcW w:w="435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3, 2026</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3" w:name="d63235dex51.htm"/>
      <w:bookmarkStart w:id="4" w:name="ksd63235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22"/>
        <w:gridCol w:w="120"/>
        <w:gridCol w:w="5163"/>
      </w:tblGrid>
      <w:tr>
        <w:trPr/>
        <w:tc>
          <w:tcPr>
            <w:tcW w:w="49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63" w:type="dxa"/>
            <w:tcBorders/>
            <w:vAlign w:val="center"/>
          </w:tcPr>
          <w:p>
            <w:pPr>
              <w:pStyle w:val="TableContents"/>
              <w:bidi w:val="0"/>
              <w:spacing w:before="0" w:after="283"/>
              <w:jc w:val="left"/>
              <w:rPr>
                <w:sz w:val="4"/>
                <w:szCs w:val="4"/>
              </w:rPr>
            </w:pPr>
            <w:r>
              <w:rPr>
                <w:sz w:val="4"/>
                <w:szCs w:val="4"/>
              </w:rPr>
            </w:r>
          </w:p>
        </w:tc>
      </w:tr>
      <w:tr>
        <w:trPr/>
        <w:tc>
          <w:tcPr>
            <w:tcW w:w="4922" w:type="dxa"/>
            <w:tcBorders/>
          </w:tcPr>
          <w:p>
            <w:pPr>
              <w:pStyle w:val="TableContents"/>
              <w:bidi w:val="0"/>
              <w:spacing w:before="0" w:after="283"/>
              <w:jc w:val="left"/>
              <w:rPr/>
            </w:pPr>
            <w:r>
              <w:rPr/>
              <w:drawing>
                <wp:inline distT="0" distB="0" distL="0" distR="0">
                  <wp:extent cx="1752600"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9"/>
                          <a:stretch>
                            <a:fillRect/>
                          </a:stretch>
                        </pic:blipFill>
                        <pic:spPr bwMode="auto">
                          <a:xfrm>
                            <a:off x="0" y="0"/>
                            <a:ext cx="1752600" cy="3143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5163" w:type="dxa"/>
            <w:tcBorders/>
          </w:tcPr>
          <w:p>
            <w:pPr>
              <w:pStyle w:val="TableContents"/>
              <w:bidi w:val="0"/>
              <w:spacing w:before="0" w:after="283"/>
              <w:jc w:val="right"/>
              <w:rPr/>
            </w:pPr>
            <w:r>
              <w:rPr/>
              <w:drawing>
                <wp:inline distT="0" distB="0" distL="0" distR="0">
                  <wp:extent cx="2590800" cy="400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
                          <a:stretch>
                            <a:fillRect/>
                          </a:stretch>
                        </pic:blipFill>
                        <pic:spPr bwMode="auto">
                          <a:xfrm>
                            <a:off x="0" y="0"/>
                            <a:ext cx="2590800" cy="400050"/>
                          </a:xfrm>
                          <a:prstGeom prst="rect">
                            <a:avLst/>
                          </a:prstGeom>
                        </pic:spPr>
                      </pic:pic>
                    </a:graphicData>
                  </a:graphic>
                </wp:inline>
              </w:drawing>
            </w:r>
            <w:r>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August 3, 2026 </w:t>
      </w:r>
    </w:p>
    <w:p>
      <w:pPr>
        <w:pStyle w:val="TextBody"/>
        <w:bidi w:val="0"/>
        <w:spacing w:before="240" w:after="0"/>
        <w:jc w:val="left"/>
        <w:rPr>
          <w:rFonts w:ascii="Times New Roman" w:hAnsi="Times New Roman"/>
          <w:sz w:val="20"/>
        </w:rPr>
      </w:pPr>
      <w:r>
        <w:rPr>
          <w:rFonts w:ascii="Times New Roman" w:hAnsi="Times New Roman"/>
          <w:sz w:val="20"/>
        </w:rPr>
        <w:t xml:space="preserve">Stoke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45 Wiggins Avenue </w:t>
      </w:r>
    </w:p>
    <w:p>
      <w:pPr>
        <w:pStyle w:val="TextBody"/>
        <w:bidi w:val="0"/>
        <w:spacing w:before="0" w:after="0"/>
        <w:jc w:val="left"/>
        <w:rPr>
          <w:rFonts w:ascii="Times New Roman" w:hAnsi="Times New Roman"/>
          <w:sz w:val="20"/>
        </w:rPr>
      </w:pPr>
      <w:r>
        <w:rPr>
          <w:rFonts w:ascii="Times New Roman" w:hAnsi="Times New Roman"/>
          <w:sz w:val="20"/>
        </w:rPr>
        <w:t xml:space="preserve">Bedford, Massachusetts 01730 </w:t>
      </w:r>
    </w:p>
    <w:p>
      <w:pPr>
        <w:pStyle w:val="TextBody"/>
        <w:bidi w:val="0"/>
        <w:spacing w:before="240" w:after="0"/>
        <w:jc w:val="left"/>
        <w:rPr>
          <w:rFonts w:ascii="Times New Roman" w:hAnsi="Times New Roman"/>
          <w:sz w:val="20"/>
        </w:rPr>
      </w:pPr>
      <w:r>
        <w:rPr>
          <w:rFonts w:ascii="Times New Roman" w:hAnsi="Times New Roman"/>
          <w:sz w:val="20"/>
        </w:rPr>
        <w:t xml:space="preserve">Re: Registration Statement on Form S-8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As counsel to Stoke Therapeutics, Inc., a Delaware corporation (the “</w:t>
      </w:r>
      <w:r>
        <w:rPr>
          <w:rFonts w:ascii="Times New Roman" w:hAnsi="Times New Roman"/>
          <w:b/>
          <w:i/>
          <w:sz w:val="20"/>
        </w:rPr>
        <w:t>Company</w:t>
      </w:r>
      <w:r>
        <w:rPr>
          <w:rFonts w:ascii="Times New Roman" w:hAnsi="Times New Roman"/>
          <w:sz w:val="20"/>
        </w:rPr>
        <w:t>”), we have examined the Registration Statement on Form S-8 (the “</w:t>
      </w:r>
      <w:r>
        <w:rPr>
          <w:rFonts w:ascii="Times New Roman" w:hAnsi="Times New Roman"/>
          <w:b/>
          <w:i/>
          <w:sz w:val="20"/>
        </w:rPr>
        <w:t>Registration Statement</w:t>
      </w:r>
      <w:r>
        <w:rPr>
          <w:rFonts w:ascii="Times New Roman" w:hAnsi="Times New Roman"/>
          <w:sz w:val="20"/>
        </w:rPr>
        <w:t>”) to be filed by the Company with the Securities and Exchange Commission (the “</w:t>
      </w:r>
      <w:r>
        <w:rPr>
          <w:rFonts w:ascii="Times New Roman" w:hAnsi="Times New Roman"/>
          <w:b/>
          <w:i/>
          <w:sz w:val="20"/>
        </w:rPr>
        <w:t>Commission</w:t>
      </w:r>
      <w:r>
        <w:rPr>
          <w:rFonts w:ascii="Times New Roman" w:hAnsi="Times New Roman"/>
          <w:sz w:val="20"/>
        </w:rPr>
        <w:t>”) on or about August 3, 2026 in connection with the registration under the Securities Act of 1933, as amended (the “</w:t>
      </w:r>
      <w:r>
        <w:rPr>
          <w:rFonts w:ascii="Times New Roman" w:hAnsi="Times New Roman"/>
          <w:b/>
          <w:i/>
          <w:sz w:val="20"/>
        </w:rPr>
        <w:t>Securities Act</w:t>
      </w:r>
      <w:r>
        <w:rPr>
          <w:rFonts w:ascii="Times New Roman" w:hAnsi="Times New Roman"/>
          <w:sz w:val="20"/>
        </w:rPr>
        <w:t>”), of an aggregate of 2,000,000 shares (the “</w:t>
      </w:r>
      <w:r>
        <w:rPr>
          <w:rFonts w:ascii="Times New Roman" w:hAnsi="Times New Roman"/>
          <w:b/>
          <w:i/>
          <w:sz w:val="20"/>
        </w:rPr>
        <w:t>Shares</w:t>
      </w:r>
      <w:r>
        <w:rPr>
          <w:rFonts w:ascii="Times New Roman" w:hAnsi="Times New Roman"/>
          <w:sz w:val="20"/>
        </w:rPr>
        <w:t>”) of the Company’s Common Stock, $0.0001 par value per share, subject to issuance by the Company upon the exercise or settlement of awards to be granted under the Company’s Amended and Restated 2023 Inducement Plan (the “</w:t>
      </w:r>
      <w:r>
        <w:rPr>
          <w:rFonts w:ascii="Times New Roman" w:hAnsi="Times New Roman"/>
          <w:b/>
          <w:i/>
          <w:sz w:val="20"/>
        </w:rPr>
        <w:t>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to matters of fact relevant to the opinions rendered herein, we have examined such documents, certificates and other instruments which we have deemed necessary or advisable, including a certificate addressed to us and dated the date hereof executed by the Company.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 set forth below. We have not considered parol evidence in connection with any of the agreements or instruments reviewed by us in connection with this letter. </w:t>
      </w:r>
    </w:p>
    <w:p>
      <w:pPr>
        <w:pStyle w:val="TextBody"/>
        <w:bidi w:val="0"/>
        <w:spacing w:before="240" w:after="0"/>
        <w:jc w:val="left"/>
        <w:rPr>
          <w:rFonts w:ascii="Times New Roman" w:hAnsi="Times New Roman"/>
          <w:sz w:val="20"/>
        </w:rPr>
      </w:pPr>
      <w:r>
        <w:rPr>
          <w:rFonts w:ascii="Times New Roman" w:hAnsi="Times New Roman"/>
          <w:sz w:val="20"/>
        </w:rPr>
        <w:t>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Times New Roman" w:hAnsi="Times New Roman"/>
          <w:b/>
          <w:i/>
          <w:sz w:val="20"/>
        </w:rPr>
        <w:t>EDGAR</w:t>
      </w:r>
      <w:r>
        <w:rPr>
          <w:rFonts w:ascii="Times New Roman" w:hAnsi="Times New Roman"/>
          <w:sz w:val="20"/>
        </w:rPr>
        <w:t xml:space="preserve">”), except for required EDGAR formatting changes, to physical copies submitted for our examination. </w:t>
      </w:r>
    </w:p>
    <w:p>
      <w:pPr>
        <w:pStyle w:val="TextBody"/>
        <w:bidi w:val="0"/>
        <w:spacing w:before="240" w:after="0"/>
        <w:jc w:val="left"/>
        <w:rPr>
          <w:rFonts w:ascii="Times New Roman" w:hAnsi="Times New Roman"/>
          <w:sz w:val="20"/>
        </w:rPr>
      </w:pPr>
      <w:r>
        <w:rPr>
          <w:rFonts w:ascii="Times New Roman" w:hAnsi="Times New Roman"/>
          <w:sz w:val="20"/>
        </w:rPr>
        <w:t xml:space="preserve">The opinions in this letter are limited to the existing General Corporation Law of the State of Delaware now in effect. We express no opinion with respect to any other laws.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Stoke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August 3,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Based upon, and subject to, the foregoing, it is our opinion that the Shares, when issued and sold by the Company in accordance with the terms (including, without limitation, payment and authorization provisions) of the Plan and the applicable form of award agreement thereunder, against the Company’s receipt of payment therefor (in an amount and type of consideration not less than the par value per Share), and duly registered on the books of the transfer agent and registrar for the Shares in the name or on behalf of the holders thereof,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this opinion as an exhibit to the Registration Statement and further consent to all references to us, if any, in the Registration Statement, the prospectuses constituting a part thereof and any amendments thereto. We do not thereby admit that we are within the category of persons whose consent is required under Section 7 of the Securities Act or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intended solely for your use in connection with the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Fenwick &amp; West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FENWICK &amp; WEST LLP</w:t>
            </w:r>
          </w:p>
        </w:tc>
      </w:tr>
    </w:tbl>
    <w:p>
      <w:pPr>
        <w:pStyle w:val="TextBody"/>
        <w:bidi w:val="0"/>
        <w:spacing w:before="0" w:after="0"/>
        <w:jc w:val="right"/>
        <w:rPr>
          <w:rFonts w:ascii="Times New Roman" w:hAnsi="Times New Roman"/>
          <w:b/>
          <w:sz w:val="20"/>
        </w:rPr>
      </w:pPr>
      <w:bookmarkStart w:id="5" w:name="d63235dex232.htm"/>
      <w:bookmarkStart w:id="6" w:name="ksd63235dex232"/>
      <w:bookmarkEnd w:id="5"/>
      <w:bookmarkEnd w:id="6"/>
      <w:r>
        <w:rPr>
          <w:rFonts w:ascii="Times New Roman" w:hAnsi="Times New Roman"/>
          <w:b/>
          <w:sz w:val="20"/>
        </w:rPr>
        <w:t xml:space="preserve">Exhibit 23.2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19200" cy="590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1"/>
                    <a:stretch>
                      <a:fillRect/>
                    </a:stretch>
                  </pic:blipFill>
                  <pic:spPr bwMode="auto">
                    <a:xfrm>
                      <a:off x="0" y="0"/>
                      <a:ext cx="1219200" cy="5905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KPMG LLP </w:t>
      </w:r>
    </w:p>
    <w:p>
      <w:pPr>
        <w:pStyle w:val="TextBody"/>
        <w:bidi w:val="0"/>
        <w:spacing w:before="0" w:after="0"/>
        <w:jc w:val="left"/>
        <w:rPr>
          <w:rFonts w:ascii="Times New Roman" w:hAnsi="Times New Roman"/>
          <w:sz w:val="20"/>
        </w:rPr>
      </w:pPr>
      <w:r>
        <w:rPr>
          <w:rFonts w:ascii="Times New Roman" w:hAnsi="Times New Roman"/>
          <w:sz w:val="20"/>
        </w:rPr>
        <w:t xml:space="preserve">Two Financial Center </w:t>
      </w:r>
    </w:p>
    <w:p>
      <w:pPr>
        <w:pStyle w:val="TextBody"/>
        <w:bidi w:val="0"/>
        <w:spacing w:before="0" w:after="0"/>
        <w:jc w:val="left"/>
        <w:rPr>
          <w:rFonts w:ascii="Times New Roman" w:hAnsi="Times New Roman"/>
          <w:sz w:val="20"/>
        </w:rPr>
      </w:pPr>
      <w:r>
        <w:rPr>
          <w:rFonts w:ascii="Times New Roman" w:hAnsi="Times New Roman"/>
          <w:sz w:val="20"/>
        </w:rPr>
        <w:t xml:space="preserve">60 South Street </w:t>
      </w:r>
    </w:p>
    <w:p>
      <w:pPr>
        <w:pStyle w:val="TextBody"/>
        <w:bidi w:val="0"/>
        <w:spacing w:before="0" w:after="0"/>
        <w:jc w:val="left"/>
        <w:rPr>
          <w:rFonts w:ascii="Times New Roman" w:hAnsi="Times New Roman"/>
          <w:sz w:val="20"/>
        </w:rPr>
      </w:pPr>
      <w:r>
        <w:rPr>
          <w:rFonts w:ascii="Times New Roman" w:hAnsi="Times New Roman"/>
          <w:sz w:val="20"/>
        </w:rPr>
        <w:t xml:space="preserve">Boston, MA 02111 </w:t>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March 16, 2026, with respect to the consolidated financial statements of Stoke Therapeutics, Inc. and subsidiary, incorporated herein by reference. </w:t>
      </w:r>
    </w:p>
    <w:p>
      <w:pPr>
        <w:pStyle w:val="TextBody"/>
        <w:bidi w:val="0"/>
        <w:spacing w:before="240" w:after="0"/>
        <w:jc w:val="center"/>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August 3, 2026 </w:t>
      </w:r>
    </w:p>
    <w:p>
      <w:pPr>
        <w:pStyle w:val="TextBody"/>
        <w:bidi w:val="0"/>
        <w:spacing w:before="0" w:after="0"/>
        <w:jc w:val="right"/>
        <w:rPr>
          <w:rFonts w:ascii="Times New Roman" w:hAnsi="Times New Roman"/>
          <w:b/>
          <w:sz w:val="20"/>
        </w:rPr>
      </w:pPr>
      <w:bookmarkStart w:id="7" w:name="d63235dex991.htm"/>
      <w:bookmarkStart w:id="8" w:name="ksd63235dex991"/>
      <w:bookmarkEnd w:id="7"/>
      <w:bookmarkEnd w:id="8"/>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STOKE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2023 INDUCEMENT PLAN </w:t>
      </w:r>
    </w:p>
    <w:p>
      <w:pPr>
        <w:pStyle w:val="TextBody"/>
        <w:bidi w:val="0"/>
        <w:spacing w:before="120" w:after="0"/>
        <w:jc w:val="center"/>
        <w:rPr>
          <w:rFonts w:ascii="Times New Roman" w:hAnsi="Times New Roman"/>
          <w:b/>
          <w:sz w:val="20"/>
        </w:rPr>
      </w:pPr>
      <w:r>
        <w:rPr>
          <w:rFonts w:ascii="Times New Roman" w:hAnsi="Times New Roman"/>
          <w:b/>
          <w:sz w:val="20"/>
        </w:rPr>
        <w:t xml:space="preserve">AMENDED: MAY 28, 2026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PURPOSE</w:t>
      </w:r>
      <w:r>
        <w:rPr>
          <w:rFonts w:ascii="Times New Roman" w:hAnsi="Times New Roman"/>
          <w:sz w:val="20"/>
        </w:rPr>
        <w:t xml:space="preserve">. The purpose of this Plan is to provide incentives to attract and motivate eligible employees whose present and potential 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21.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SHARES SUBJECT TO THE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sz w:val="20"/>
          <w:u w:val="single"/>
        </w:rPr>
        <w:t>Number of Shares Available</w:t>
      </w:r>
      <w:r>
        <w:rPr>
          <w:rFonts w:ascii="Times New Roman" w:hAnsi="Times New Roman"/>
          <w:sz w:val="20"/>
        </w:rPr>
        <w:t xml:space="preserve">. Subject to Sections 2.4 and 15 and any other applicable provisions hereof, the total number of Shares reserved and available for grant and issuance pursuant to this Plan as of the date of adoption of the Plan by the Board is 5,000,000 Shares.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sz w:val="20"/>
          <w:u w:val="single"/>
        </w:rPr>
        <w:t>Lapsed, Returned Awards</w:t>
      </w:r>
      <w:r>
        <w:rPr>
          <w:rFonts w:ascii="Times New Roman" w:hAnsi="Times New Roman"/>
          <w:sz w:val="20"/>
        </w:rPr>
        <w:t xml:space="preserve">. Shares subject to Awards, and Shares issued under the Plan under any Award, will again be available for grant and issuance in connection with subsequent Awards under this Plan to the extent such Shares: (a) are subject to issuance upon exercise of an Option granted under this Plan but which cease to be subject to the Option for any reason other than exercise of the Option, (b) are subject to Awards granted under this Plan that are forfeited or are repurchased by the Company at the original issue price, or (c) are subject to Awards granted under this Plan that otherwise terminate without such Shares being issued. To the extent an Award under the Plan is paid out in cash or other property rather than Shares, such cash payment will not result in reducing the number of Shares available for issuance under the Plan. Shares used to pay the exercise price of an Award or withheld to satisfy the tax withholding obligations related to an Award will become available for grant and issuance in connection with subsequent Awards under this Plan. </w:t>
      </w:r>
    </w:p>
    <w:p>
      <w:pPr>
        <w:pStyle w:val="TextBody"/>
        <w:bidi w:val="0"/>
        <w:spacing w:before="24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sz w:val="20"/>
          <w:u w:val="single"/>
        </w:rPr>
        <w:t>Minimum Share Reserve</w:t>
      </w:r>
      <w:r>
        <w:rPr>
          <w:rFonts w:ascii="Times New Roman" w:hAnsi="Times New Roman"/>
          <w:sz w:val="20"/>
        </w:rPr>
        <w:t xml:space="preserve">. At all times the Company will reserve and keep available a sufficient number of Shares as will be required to satisfy the requirements of all outstanding Awards granted under this Plan. </w:t>
      </w:r>
    </w:p>
    <w:p>
      <w:pPr>
        <w:pStyle w:val="TextBody"/>
        <w:bidi w:val="0"/>
        <w:spacing w:before="240" w:after="0"/>
        <w:jc w:val="left"/>
        <w:rPr>
          <w:rFonts w:ascii="Times New Roman" w:hAnsi="Times New Roman"/>
          <w:sz w:val="20"/>
        </w:rPr>
      </w:pPr>
      <w:r>
        <w:rPr>
          <w:rFonts w:ascii="Times New Roman" w:hAnsi="Times New Roman"/>
          <w:b/>
          <w:sz w:val="20"/>
        </w:rPr>
        <w:t>2.4.</w:t>
      </w:r>
      <w:r>
        <w:rPr>
          <w:rFonts w:ascii="Times New Roman" w:hAnsi="Times New Roman"/>
          <w:sz w:val="20"/>
        </w:rPr>
        <w:t xml:space="preserve"> </w:t>
      </w:r>
      <w:r>
        <w:rPr>
          <w:rFonts w:ascii="Times New Roman" w:hAnsi="Times New Roman"/>
          <w:sz w:val="20"/>
          <w:u w:val="single"/>
        </w:rPr>
        <w:t>Adjustment of Shares</w:t>
      </w:r>
      <w:r>
        <w:rPr>
          <w:rFonts w:ascii="Times New Roman" w:hAnsi="Times New Roman"/>
          <w:sz w:val="20"/>
        </w:rPr>
        <w:t xml:space="preserve">. If the number or class of outstanding Shares is changed by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without consideration, then (a) the number and class of Shares reserved for issuance and future grant under the Plan set forth in Section 2.1, (b) the Exercise Prices of and number and class of Shares subject to outstanding Options, and (c) the number and class of Shares subject to other outstanding Awards, will be proportionately adjusted, subject to any required action by the Board or the stockholders of the Company and in compliance with applicable securities or other laws, provided that fractions of a Share will not be issued. </w:t>
      </w:r>
    </w:p>
    <w:p>
      <w:pPr>
        <w:pStyle w:val="TextBody"/>
        <w:bidi w:val="0"/>
        <w:spacing w:before="240" w:after="0"/>
        <w:jc w:val="left"/>
        <w:rPr>
          <w:rFonts w:ascii="Times New Roman" w:hAnsi="Times New Roman"/>
          <w:sz w:val="20"/>
        </w:rPr>
      </w:pPr>
      <w:r>
        <w:rPr>
          <w:rFonts w:ascii="Times New Roman" w:hAnsi="Times New Roman"/>
          <w:sz w:val="20"/>
        </w:rPr>
        <w:t xml:space="preserve">If, by reason of an adjustment pursuant to this Section 2.4, a Participant’s Award Agreement or other agreement related to any Award, or the Shares subject to such Award, covers additional or different shares of stock or securities, then such additional or different shares, and the Award Agreement or such other agreement in respect thereof, will be subject to all of the terms, conditions, and restrictions which were applicable to the Award or the Shares subject to such Award prior to such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ELIGIBILITY</w:t>
      </w:r>
      <w:r>
        <w:rPr>
          <w:rFonts w:ascii="Times New Roman" w:hAnsi="Times New Roman"/>
          <w:sz w:val="20"/>
        </w:rPr>
        <w:t xml:space="preserve">. Awards may be granted only to a person who, at the time of granting of the Award by the Committee: (a) has been hired (or rehired following a bona fide period of interruption of employment with the Company or any Subsidiary or Affiliate) as an Employee by the Company or any Subsidiary or Affiliate and such Award is a material inducement to such person being hired or (b) has become an Employee of the Company or any Subsidiary or Affiliate in connection with a merger or acquisition.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ADMINISTRATION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w:t>
      </w:r>
      <w:r>
        <w:rPr>
          <w:rFonts w:ascii="Times New Roman" w:hAnsi="Times New Roman"/>
          <w:sz w:val="20"/>
          <w:u w:val="single"/>
        </w:rPr>
        <w:t>Committee Composition; Authority</w:t>
      </w:r>
      <w:r>
        <w:rPr>
          <w:rFonts w:ascii="Times New Roman" w:hAnsi="Times New Roman"/>
          <w:sz w:val="20"/>
        </w:rPr>
        <w:t xml:space="preserve">. This Plan will be administered by the Committee or by the Board acting as the Committee. Subject to the general purposes, terms, and conditions of this Plan, and to the direction of the Board, the Committee will have full power to implement and carry out this Plan. The Committee will have the authority to: </w:t>
      </w:r>
    </w:p>
    <w:p>
      <w:pPr>
        <w:pStyle w:val="TextBody"/>
        <w:bidi w:val="0"/>
        <w:spacing w:before="120" w:after="0"/>
        <w:jc w:val="left"/>
        <w:rPr>
          <w:rFonts w:ascii="Times New Roman" w:hAnsi="Times New Roman"/>
          <w:sz w:val="20"/>
        </w:rPr>
      </w:pPr>
      <w:r>
        <w:rPr>
          <w:rFonts w:ascii="Times New Roman" w:hAnsi="Times New Roman"/>
          <w:sz w:val="20"/>
        </w:rPr>
        <w:t xml:space="preserve">(a) construe and interpret this Plan, any Award Agreement, and any other agreement or document executed pursuant to this Plan; </w:t>
      </w:r>
    </w:p>
    <w:p>
      <w:pPr>
        <w:pStyle w:val="TextBody"/>
        <w:bidi w:val="0"/>
        <w:spacing w:before="240" w:after="0"/>
        <w:jc w:val="left"/>
        <w:rPr>
          <w:rFonts w:ascii="Times New Roman" w:hAnsi="Times New Roman"/>
          <w:sz w:val="20"/>
        </w:rPr>
      </w:pPr>
      <w:r>
        <w:rPr>
          <w:rFonts w:ascii="Times New Roman" w:hAnsi="Times New Roman"/>
          <w:sz w:val="20"/>
        </w:rPr>
        <w:t xml:space="preserve">(b) prescribe, amend, and rescind rules and regulations relating to this Plan or any Award; </w:t>
      </w:r>
    </w:p>
    <w:p>
      <w:pPr>
        <w:pStyle w:val="TextBody"/>
        <w:bidi w:val="0"/>
        <w:spacing w:before="240" w:after="0"/>
        <w:jc w:val="left"/>
        <w:rPr>
          <w:rFonts w:ascii="Times New Roman" w:hAnsi="Times New Roman"/>
          <w:sz w:val="20"/>
        </w:rPr>
      </w:pPr>
      <w:r>
        <w:rPr>
          <w:rFonts w:ascii="Times New Roman" w:hAnsi="Times New Roman"/>
          <w:sz w:val="20"/>
        </w:rPr>
        <w:t xml:space="preserve">(c) select persons to receive Awards; </w:t>
      </w:r>
    </w:p>
    <w:p>
      <w:pPr>
        <w:pStyle w:val="TextBody"/>
        <w:bidi w:val="0"/>
        <w:spacing w:before="240" w:after="0"/>
        <w:jc w:val="left"/>
        <w:rPr>
          <w:rFonts w:ascii="Times New Roman" w:hAnsi="Times New Roman"/>
          <w:sz w:val="20"/>
        </w:rPr>
      </w:pPr>
      <w:r>
        <w:rPr>
          <w:rFonts w:ascii="Times New Roman" w:hAnsi="Times New Roman"/>
          <w:sz w:val="20"/>
        </w:rPr>
        <w:t xml:space="preserve">(d) determine the form and terms and conditions, not inconsistent with the terms of the Plan, of any Award granted hereunder. Such terms and conditions include, but are not limited to, the Exercise Price, the time or times when Awards may vest and be exercised (which may be based on performance criteria)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 </w:t>
      </w:r>
    </w:p>
    <w:p>
      <w:pPr>
        <w:pStyle w:val="TextBody"/>
        <w:bidi w:val="0"/>
        <w:spacing w:before="240" w:after="0"/>
        <w:jc w:val="left"/>
        <w:rPr>
          <w:rFonts w:ascii="Times New Roman" w:hAnsi="Times New Roman"/>
          <w:sz w:val="20"/>
        </w:rPr>
      </w:pPr>
      <w:r>
        <w:rPr>
          <w:rFonts w:ascii="Times New Roman" w:hAnsi="Times New Roman"/>
          <w:sz w:val="20"/>
        </w:rPr>
        <w:t xml:space="preserve">(e) determine the number of Shares or other consideration subject to Awards; </w:t>
      </w:r>
    </w:p>
    <w:p>
      <w:pPr>
        <w:pStyle w:val="TextBody"/>
        <w:bidi w:val="0"/>
        <w:spacing w:before="240" w:after="0"/>
        <w:jc w:val="left"/>
        <w:rPr>
          <w:rFonts w:ascii="Times New Roman" w:hAnsi="Times New Roman"/>
          <w:sz w:val="20"/>
        </w:rPr>
      </w:pPr>
      <w:r>
        <w:rPr>
          <w:rFonts w:ascii="Times New Roman" w:hAnsi="Times New Roman"/>
          <w:sz w:val="20"/>
        </w:rPr>
        <w:t xml:space="preserve">(f) determine the Fair Market Value in good faith and interpret the applicable provisions of this Plan and the definition of Fair Market Value in connection with circumstances that impact the Fair Market Value, if necessary; </w:t>
      </w:r>
    </w:p>
    <w:p>
      <w:pPr>
        <w:pStyle w:val="TextBody"/>
        <w:bidi w:val="0"/>
        <w:spacing w:before="240" w:after="0"/>
        <w:jc w:val="left"/>
        <w:rPr>
          <w:rFonts w:ascii="Times New Roman" w:hAnsi="Times New Roman"/>
          <w:sz w:val="20"/>
        </w:rPr>
      </w:pPr>
      <w:r>
        <w:rPr>
          <w:rFonts w:ascii="Times New Roman" w:hAnsi="Times New Roman"/>
          <w:sz w:val="20"/>
        </w:rPr>
        <w:t xml:space="preserve">(g) determine whether Awards will be granted singly, in combination with, in tandem with or as alternatives to, other Awards under this Plan or any other incentive or compensation plan of the Company or any Parent, Subsidiary, or Affiliate; </w:t>
      </w:r>
    </w:p>
    <w:p>
      <w:pPr>
        <w:pStyle w:val="TextBody"/>
        <w:bidi w:val="0"/>
        <w:spacing w:before="240" w:after="0"/>
        <w:jc w:val="left"/>
        <w:rPr>
          <w:rFonts w:ascii="Times New Roman" w:hAnsi="Times New Roman"/>
          <w:sz w:val="20"/>
        </w:rPr>
      </w:pPr>
      <w:r>
        <w:rPr>
          <w:rFonts w:ascii="Times New Roman" w:hAnsi="Times New Roman"/>
          <w:sz w:val="20"/>
        </w:rPr>
        <w:t xml:space="preserve">(h) grant waivers of Plan or Award conditions; </w:t>
      </w:r>
    </w:p>
    <w:p>
      <w:pPr>
        <w:pStyle w:val="TextBody"/>
        <w:bidi w:val="0"/>
        <w:spacing w:before="240" w:after="0"/>
        <w:jc w:val="left"/>
        <w:rPr>
          <w:rFonts w:ascii="Times New Roman" w:hAnsi="Times New Roman"/>
          <w:sz w:val="20"/>
        </w:rPr>
      </w:pPr>
      <w:r>
        <w:rPr>
          <w:rFonts w:ascii="Times New Roman" w:hAnsi="Times New Roman"/>
          <w:sz w:val="20"/>
        </w:rPr>
        <w:t xml:space="preserve">(i) determine the vesting, exercisability, and payment of Awards; </w:t>
      </w:r>
    </w:p>
    <w:p>
      <w:pPr>
        <w:pStyle w:val="TextBody"/>
        <w:bidi w:val="0"/>
        <w:spacing w:before="240" w:after="0"/>
        <w:jc w:val="left"/>
        <w:rPr>
          <w:rFonts w:ascii="Times New Roman" w:hAnsi="Times New Roman"/>
          <w:sz w:val="20"/>
        </w:rPr>
      </w:pPr>
      <w:r>
        <w:rPr>
          <w:rFonts w:ascii="Times New Roman" w:hAnsi="Times New Roman"/>
          <w:sz w:val="20"/>
        </w:rPr>
        <w:t xml:space="preserve">(j) correct any defect, supply any omission or reconcile any inconsistency in this Plan, any Award or any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(k) determine whether an Award has been vested and/or earned; </w:t>
      </w:r>
    </w:p>
    <w:p>
      <w:pPr>
        <w:pStyle w:val="TextBody"/>
        <w:bidi w:val="0"/>
        <w:spacing w:before="240" w:after="0"/>
        <w:jc w:val="left"/>
        <w:rPr>
          <w:rFonts w:ascii="Times New Roman" w:hAnsi="Times New Roman"/>
          <w:sz w:val="20"/>
        </w:rPr>
      </w:pPr>
      <w:r>
        <w:rPr>
          <w:rFonts w:ascii="Times New Roman" w:hAnsi="Times New Roman"/>
          <w:sz w:val="20"/>
        </w:rPr>
        <w:t xml:space="preserve">(l) reduce or modify any criteria with respect to Performance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adjust Performance Factors to take into account changes in law and accounting or tax rules as the Committee deems necessary or appropriate to reflect the impact of extraordinary or unusual items, events, or circumstances to avoid windfalls or hardships; </w:t>
      </w:r>
    </w:p>
    <w:p>
      <w:pPr>
        <w:pStyle w:val="TextBody"/>
        <w:bidi w:val="0"/>
        <w:spacing w:before="240" w:after="0"/>
        <w:jc w:val="left"/>
        <w:rPr>
          <w:rFonts w:ascii="Times New Roman" w:hAnsi="Times New Roman"/>
          <w:sz w:val="20"/>
        </w:rPr>
      </w:pPr>
      <w:r>
        <w:rPr>
          <w:rFonts w:ascii="Times New Roman" w:hAnsi="Times New Roman"/>
          <w:sz w:val="20"/>
        </w:rPr>
        <w:t xml:space="preserve">(n) adopt terms and conditions, rules, and/or procedures (including the adoption of any subplan under this Plan) relating to the operation and administration of the Plan to accommodate requirements of local law and procedures outside of the United States or to qualify Awards for special tax treatment under laws of jurisdictions other than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(o) exercise discretion with respect to Performance Awards; </w:t>
      </w:r>
    </w:p>
    <w:p>
      <w:pPr>
        <w:pStyle w:val="TextBody"/>
        <w:bidi w:val="0"/>
        <w:spacing w:before="240" w:after="0"/>
        <w:jc w:val="left"/>
        <w:rPr>
          <w:rFonts w:ascii="Times New Roman" w:hAnsi="Times New Roman"/>
          <w:sz w:val="20"/>
        </w:rPr>
      </w:pPr>
      <w:r>
        <w:rPr>
          <w:rFonts w:ascii="Times New Roman" w:hAnsi="Times New Roman"/>
          <w:sz w:val="20"/>
        </w:rPr>
        <w:t xml:space="preserve">(p) make all other determinations necessary or advisable for the administration of this Plan; and </w:t>
      </w:r>
    </w:p>
    <w:p>
      <w:pPr>
        <w:pStyle w:val="TextBody"/>
        <w:bidi w:val="0"/>
        <w:spacing w:before="240" w:after="0"/>
        <w:jc w:val="left"/>
        <w:rPr>
          <w:rFonts w:ascii="Times New Roman" w:hAnsi="Times New Roman"/>
          <w:sz w:val="20"/>
        </w:rPr>
      </w:pPr>
      <w:r>
        <w:rPr>
          <w:rFonts w:ascii="Times New Roman" w:hAnsi="Times New Roman"/>
          <w:sz w:val="20"/>
        </w:rPr>
        <w:t xml:space="preserve">(q) delegate any of the foregoing to a subcommittee or to one or more executive officers pursuant to a specific delegation as permitted by applicable law, including Section 157(c) of the Delaware General Corporation Law. </w:t>
      </w:r>
    </w:p>
    <w:p>
      <w:pPr>
        <w:pStyle w:val="TextBody"/>
        <w:bidi w:val="0"/>
        <w:spacing w:before="24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w:t>
      </w:r>
      <w:r>
        <w:rPr>
          <w:rFonts w:ascii="Times New Roman" w:hAnsi="Times New Roman"/>
          <w:sz w:val="20"/>
          <w:u w:val="single"/>
        </w:rPr>
        <w:t>Committee Interpretation and Discretion</w:t>
      </w:r>
      <w:r>
        <w:rPr>
          <w:rFonts w:ascii="Times New Roman" w:hAnsi="Times New Roman"/>
          <w:sz w:val="20"/>
        </w:rPr>
        <w:t xml:space="preserve">. Any determination made by the Committee with respect to any Award will be made in its sole discretion at the time of grant of the Award or, unless in contravention of any express term of the Plan or Award, at any later time, and such determination will be final and binding on the Company and all persons having an interest in any Award under the Plan. Any dispute regarding the interpretation of the Plan or any Award Agreement will be submitted by the Participant or Company to the Committee for review. The resolution of such a dispute by the Committee will be final and binding on the Company and the Participant. The Committee may delegate to one or more executive officers the authority to review and resolve disputes with respect to Awards held by Participants who are not Insiders, and such resolution will be final and binding on the Company and the Participant. </w:t>
      </w:r>
    </w:p>
    <w:p>
      <w:pPr>
        <w:pStyle w:val="TextBody"/>
        <w:bidi w:val="0"/>
        <w:spacing w:before="24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w:t>
      </w:r>
      <w:r>
        <w:rPr>
          <w:rFonts w:ascii="Times New Roman" w:hAnsi="Times New Roman"/>
          <w:sz w:val="20"/>
          <w:u w:val="single"/>
        </w:rPr>
        <w:t>Section 16 of the Exchange Act</w:t>
      </w:r>
      <w:r>
        <w:rPr>
          <w:rFonts w:ascii="Times New Roman" w:hAnsi="Times New Roman"/>
          <w:sz w:val="20"/>
        </w:rPr>
        <w:t xml:space="preserve">. Awards granted to Participants who are subject to Section 16 of the Exchange Act must be approved by two or more “non-employee directors” (as defined in the regulations promulgated under Section 16 of the Exchange Act). </w:t>
      </w:r>
    </w:p>
    <w:p>
      <w:pPr>
        <w:pStyle w:val="TextBody"/>
        <w:bidi w:val="0"/>
        <w:spacing w:before="240" w:after="0"/>
        <w:jc w:val="left"/>
        <w:rPr>
          <w:rFonts w:ascii="Times New Roman" w:hAnsi="Times New Roman"/>
          <w:sz w:val="20"/>
        </w:rPr>
      </w:pPr>
      <w:r>
        <w:rPr>
          <w:rFonts w:ascii="Times New Roman" w:hAnsi="Times New Roman"/>
          <w:b/>
          <w:sz w:val="20"/>
        </w:rPr>
        <w:t>4.4.</w:t>
      </w:r>
      <w:r>
        <w:rPr>
          <w:rFonts w:ascii="Times New Roman" w:hAnsi="Times New Roman"/>
          <w:sz w:val="20"/>
        </w:rPr>
        <w:t xml:space="preserve"> </w:t>
      </w:r>
      <w:r>
        <w:rPr>
          <w:rFonts w:ascii="Times New Roman" w:hAnsi="Times New Roman"/>
          <w:sz w:val="20"/>
          <w:u w:val="single"/>
        </w:rPr>
        <w:t>Documentation</w:t>
      </w:r>
      <w:r>
        <w:rPr>
          <w:rFonts w:ascii="Times New Roman" w:hAnsi="Times New Roman"/>
          <w:sz w:val="20"/>
        </w:rPr>
        <w:t xml:space="preserve">. The Award Agreement for a given Award, the Plan, and any other documents may be delivered to, and accepted by, a Participant or any other person in any manner (including electronic distribution or posting) that meets applicable legal requirements. </w:t>
      </w:r>
    </w:p>
    <w:p>
      <w:pPr>
        <w:pStyle w:val="TextBody"/>
        <w:bidi w:val="0"/>
        <w:spacing w:before="240" w:after="0"/>
        <w:jc w:val="left"/>
        <w:rPr>
          <w:rFonts w:ascii="Times New Roman" w:hAnsi="Times New Roman"/>
          <w:sz w:val="20"/>
        </w:rPr>
      </w:pPr>
      <w:r>
        <w:rPr>
          <w:rFonts w:ascii="Times New Roman" w:hAnsi="Times New Roman"/>
          <w:b/>
          <w:sz w:val="20"/>
        </w:rPr>
        <w:t>4.5.</w:t>
      </w:r>
      <w:r>
        <w:rPr>
          <w:rFonts w:ascii="Times New Roman" w:hAnsi="Times New Roman"/>
          <w:sz w:val="20"/>
        </w:rPr>
        <w:t xml:space="preserve"> Foreign Award Recipients. Notwithstanding any provision of the Plan to the contrary, in order to comply with the laws and practices in other countries in which the Company, its Subsidiaries, and Affiliates operate or have Employees eligible for Awards, the Committee, in its sole discretion, will have the power and authority to: (a) determine which Subsidiaries and Affiliates will be covered by the Plan; (b) determine which Employees outside the United States are eligible to participate in the Plan, which may include Employees who provide services to the Company, Subsidiary or Affiliate under an agreement with a foreign nation or agency; (c) modify the terms and conditions of any Award granted to Employees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will be attached to this Plan as appendices, if necessary); and (e) take any action, before or after an Award is made, that the Committee determines to be necessary or advisable to obtain approval or comply with any local governmental regulatory exemptions or approvals, provided, however, that no action taken under this Section 4.5 will increase the Share limitations contained in Section 2.1 hereof. Notwithstanding the foregoing, the Committee may not take any actions hereunder, and no Awards will be granted, that would violate the Exchange Act or any other applicable United States securities law, the Code, or any other applicable United States governing statute or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OPTIONS</w:t>
      </w:r>
      <w:r>
        <w:rPr>
          <w:rFonts w:ascii="Times New Roman" w:hAnsi="Times New Roman"/>
          <w:sz w:val="20"/>
        </w:rPr>
        <w:t>. An Option is the right but not the obligation to purchase a Share, subject to certain conditions, if applicable. The Committee may grant Nonqualified Stock Options (“</w:t>
      </w:r>
      <w:r>
        <w:rPr>
          <w:rFonts w:ascii="Times New Roman" w:hAnsi="Times New Roman"/>
          <w:b/>
          <w:i/>
          <w:sz w:val="20"/>
        </w:rPr>
        <w:t>NSOs</w:t>
      </w:r>
      <w:r>
        <w:rPr>
          <w:rFonts w:ascii="Times New Roman" w:hAnsi="Times New Roman"/>
          <w:sz w:val="20"/>
        </w:rPr>
        <w:t xml:space="preserve">”) to eligible Employees and the Committee will determine the number of Shares subject to the Option, the Exercise Price of the Option, the period during which the Option may vest and be exercised, and all other terms and conditions of the Option, subject to the following terms of this section. </w:t>
      </w:r>
    </w:p>
    <w:p>
      <w:pPr>
        <w:pStyle w:val="TextBody"/>
        <w:bidi w:val="0"/>
        <w:spacing w:before="24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sz w:val="20"/>
          <w:u w:val="single"/>
        </w:rPr>
        <w:t>Option Grant</w:t>
      </w:r>
      <w:r>
        <w:rPr>
          <w:rFonts w:ascii="Times New Roman" w:hAnsi="Times New Roman"/>
          <w:sz w:val="20"/>
        </w:rPr>
        <w:t xml:space="preserve">. Each Option granted under this Plan will be an NSO. An Option may be, but need not be, 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 </w:t>
      </w:r>
    </w:p>
    <w:p>
      <w:pPr>
        <w:pStyle w:val="TextBody"/>
        <w:bidi w:val="0"/>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sz w:val="20"/>
          <w:u w:val="single"/>
        </w:rPr>
        <w:t>Date of Grant</w:t>
      </w:r>
      <w:r>
        <w:rPr>
          <w:rFonts w:ascii="Times New Roman" w:hAnsi="Times New Roman"/>
          <w:sz w:val="20"/>
        </w:rPr>
        <w:t xml:space="preserve">. The date of grant of an Option will be the date on which the Committee makes the determination to grant such Option, or a specified future date. The Award Agreement and a copy of this Plan will be delivered to the Participant within a reasonable time after the granting of the Option. </w:t>
      </w:r>
    </w:p>
    <w:p>
      <w:pPr>
        <w:pStyle w:val="TextBody"/>
        <w:bidi w:val="0"/>
        <w:spacing w:before="240" w:after="0"/>
        <w:jc w:val="left"/>
        <w:rPr>
          <w:rFonts w:ascii="Times New Roman" w:hAnsi="Times New Roman"/>
          <w:sz w:val="20"/>
        </w:rPr>
      </w:pPr>
      <w:r>
        <w:rPr>
          <w:rFonts w:ascii="Times New Roman" w:hAnsi="Times New Roman"/>
          <w:b/>
          <w:sz w:val="20"/>
        </w:rPr>
        <w:t>5.3.</w:t>
      </w:r>
      <w:r>
        <w:rPr>
          <w:rFonts w:ascii="Times New Roman" w:hAnsi="Times New Roman"/>
          <w:sz w:val="20"/>
        </w:rPr>
        <w:t xml:space="preserve"> </w:t>
      </w:r>
      <w:r>
        <w:rPr>
          <w:rFonts w:ascii="Times New Roman" w:hAnsi="Times New Roman"/>
          <w:sz w:val="20"/>
          <w:u w:val="single"/>
        </w:rPr>
        <w:t>Exercise Period</w:t>
      </w:r>
      <w:r>
        <w:rPr>
          <w:rFonts w:ascii="Times New Roman" w:hAnsi="Times New Roman"/>
          <w:sz w:val="20"/>
        </w:rPr>
        <w:t xml:space="preserve">. Options may be vested and exercisable within the times or upon the conditions as set forth in the Award Agreement governing such Option, provided, however, that no Option will be exercisable after the expiration of ten (10) years from the date the Option is granted. The Committee also may provide for Options to become exercisable at one time or from time to time, periodically or otherwise, in such number of Shares or percentage of Shares as the Committee determines. </w:t>
      </w:r>
    </w:p>
    <w:p>
      <w:pPr>
        <w:pStyle w:val="TextBody"/>
        <w:bidi w:val="0"/>
        <w:spacing w:before="240" w:after="0"/>
        <w:jc w:val="left"/>
        <w:rPr>
          <w:rFonts w:ascii="Times New Roman" w:hAnsi="Times New Roman"/>
          <w:sz w:val="20"/>
        </w:rPr>
      </w:pPr>
      <w:r>
        <w:rPr>
          <w:rFonts w:ascii="Times New Roman" w:hAnsi="Times New Roman"/>
          <w:b/>
          <w:sz w:val="20"/>
        </w:rPr>
        <w:t>5.4.</w:t>
      </w:r>
      <w:r>
        <w:rPr>
          <w:rFonts w:ascii="Times New Roman" w:hAnsi="Times New Roman"/>
          <w:sz w:val="20"/>
        </w:rPr>
        <w:t xml:space="preserve"> </w:t>
      </w:r>
      <w:r>
        <w:rPr>
          <w:rFonts w:ascii="Times New Roman" w:hAnsi="Times New Roman"/>
          <w:sz w:val="20"/>
          <w:u w:val="single"/>
        </w:rPr>
        <w:t>Exercise Price</w:t>
      </w:r>
      <w:r>
        <w:rPr>
          <w:rFonts w:ascii="Times New Roman" w:hAnsi="Times New Roman"/>
          <w:sz w:val="20"/>
        </w:rPr>
        <w:t xml:space="preserve">. The Exercise Price of an Option will be determined by the Committee when the Option is granted, provided that the Exercise Price of an Option will be not less than one hundred percent (100%) of the Fair Market Value of the Shares on the date of grant. Payment for the Shares purchased may be made in accordance with Section 7 and the Award Agreement and in accordance with any procedures established by the Company. </w:t>
      </w:r>
    </w:p>
    <w:p>
      <w:pPr>
        <w:pStyle w:val="TextBody"/>
        <w:bidi w:val="0"/>
        <w:spacing w:before="240" w:after="0"/>
        <w:jc w:val="left"/>
        <w:rPr>
          <w:rFonts w:ascii="Times New Roman" w:hAnsi="Times New Roman"/>
          <w:sz w:val="20"/>
        </w:rPr>
      </w:pPr>
      <w:r>
        <w:rPr>
          <w:rFonts w:ascii="Times New Roman" w:hAnsi="Times New Roman"/>
          <w:b/>
          <w:sz w:val="20"/>
        </w:rPr>
        <w:t>5.5.</w:t>
      </w:r>
      <w:r>
        <w:rPr>
          <w:rFonts w:ascii="Times New Roman" w:hAnsi="Times New Roman"/>
          <w:sz w:val="20"/>
        </w:rPr>
        <w:t xml:space="preserve"> </w:t>
      </w:r>
      <w:r>
        <w:rPr>
          <w:rFonts w:ascii="Times New Roman" w:hAnsi="Times New Roman"/>
          <w:sz w:val="20"/>
          <w:u w:val="single"/>
        </w:rPr>
        <w:t>Method of Exercise</w:t>
      </w:r>
      <w:r>
        <w:rPr>
          <w:rFonts w:ascii="Times New Roman" w:hAnsi="Times New Roman"/>
          <w:sz w:val="20"/>
        </w:rPr>
        <w:t xml:space="preserve">. Any Option granted hereunder will be vested and exercisable according to the terms of the Plan and at such times and 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the authorized third-party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2.4 of the Plan. Exercising an Option in any manner will decrease the number of Shares thereafter available, both for purposes of the Plan and for sale under the Option, by the number of Shares as to which the Option is exercised.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5.6.</w:t>
      </w:r>
      <w:r>
        <w:rPr>
          <w:rFonts w:ascii="Times New Roman" w:hAnsi="Times New Roman"/>
          <w:sz w:val="20"/>
        </w:rPr>
        <w:t xml:space="preserve"> </w:t>
      </w:r>
      <w:r>
        <w:rPr>
          <w:rFonts w:ascii="Times New Roman" w:hAnsi="Times New Roman"/>
          <w:sz w:val="20"/>
          <w:u w:val="single"/>
        </w:rPr>
        <w:t>Termination of Service</w:t>
      </w:r>
      <w:r>
        <w:rPr>
          <w:rFonts w:ascii="Times New Roman" w:hAnsi="Times New Roman"/>
          <w:sz w:val="20"/>
        </w:rPr>
        <w:t xml:space="preserve">. If the Participant’s Service terminates for any reason except for Cause or the Participant’s death or Disability, then the Participant may exercise such Participant’s Options only to the extent that such Options would have been exercisable by the Participant on the date Participant’s Service terminates no later than three (3) months after the date Participant’s Service terminates (or such shorter time period not less than thirty (30) days or longer time period as may be determined by the Committee), but in any event no later than the expiration date of the Options.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Death</w:t>
      </w:r>
      <w:r>
        <w:rPr>
          <w:rFonts w:ascii="Times New Roman" w:hAnsi="Times New Roman"/>
          <w:sz w:val="20"/>
        </w:rPr>
        <w:t xml:space="preserve">. If the Participant’s Service terminates because of the Participant’s death (or the Participant dies within three (3) months after Participant’s Service terminates other than for Cause or because of the Participant’s Disability), then the Participant’s Options may be exercised only to the extent that such Options would have been exercisable by the Participant on the date Participant’s Service terminates and must be exercised by the Participant’s legal representative, or authorized assignee, no later than twelve (12) months after the date Participant’s Service terminates (or such shorter time period not less than six (6) months or longer time period as may be determined by the Committee), but in any event no later than the expiration date of the Options.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Disability</w:t>
      </w:r>
      <w:r>
        <w:rPr>
          <w:rFonts w:ascii="Times New Roman" w:hAnsi="Times New Roman"/>
          <w:sz w:val="20"/>
        </w:rPr>
        <w:t xml:space="preserve">. 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 twelve (12) months after the date Participant’s Service terminates (or such shorter time period not less than six (6) months or longer time period as may be determined by the Committee), but in any event no later than the expiration date of the Options. </w:t>
      </w:r>
    </w:p>
    <w:p>
      <w:pPr>
        <w:pStyle w:val="TextBody"/>
        <w:bidi w:val="0"/>
        <w:spacing w:before="240" w:after="0"/>
        <w:jc w:val="left"/>
        <w:rPr>
          <w:rFonts w:ascii="Times New Roman" w:hAnsi="Times New Roman"/>
          <w:sz w:val="20"/>
        </w:rPr>
      </w:pPr>
      <w:r>
        <w:rPr>
          <w:rFonts w:ascii="Times New Roman" w:hAnsi="Times New Roman"/>
          <w:sz w:val="20"/>
        </w:rPr>
        <w:t xml:space="preserve">(c) Cause. Unless determined otherwise by the Committee, if the Participant’s Service terminates for Cause, then Participant’s Options (whether or not vested) will expire on the date of termination of Participant’s Service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Services), or at such later time and on such conditions as are determined by the Committee, but in any event no later than the expiration date of the Options. Unless otherwise provided in an employment agreement, Award Agreement, or other applicable agreement, Cause will have the meaning set forth in the Plan. </w:t>
      </w:r>
    </w:p>
    <w:p>
      <w:pPr>
        <w:pStyle w:val="TextBody"/>
        <w:bidi w:val="0"/>
        <w:spacing w:before="240" w:after="0"/>
        <w:jc w:val="left"/>
        <w:rPr>
          <w:rFonts w:ascii="Times New Roman" w:hAnsi="Times New Roman"/>
          <w:sz w:val="20"/>
        </w:rPr>
      </w:pPr>
      <w:r>
        <w:rPr>
          <w:rFonts w:ascii="Times New Roman" w:hAnsi="Times New Roman"/>
          <w:b/>
          <w:sz w:val="20"/>
        </w:rPr>
        <w:t>5.7.</w:t>
      </w:r>
      <w:r>
        <w:rPr>
          <w:rFonts w:ascii="Times New Roman" w:hAnsi="Times New Roman"/>
          <w:sz w:val="20"/>
        </w:rPr>
        <w:t xml:space="preserve"> </w:t>
      </w:r>
      <w:r>
        <w:rPr>
          <w:rFonts w:ascii="Times New Roman" w:hAnsi="Times New Roman"/>
          <w:sz w:val="20"/>
          <w:u w:val="single"/>
        </w:rPr>
        <w:t>Modification, Extension or Renewal</w:t>
      </w:r>
      <w:r>
        <w:rPr>
          <w:rFonts w:ascii="Times New Roman" w:hAnsi="Times New Roman"/>
          <w:sz w:val="20"/>
        </w:rPr>
        <w:t xml:space="preserve">. The Committee may, in accordance with NASDAQ 5635(c)(4), modify, extend, or renew outstanding Options and authorize the grant of new Options in substitution therefor, </w:t>
      </w:r>
      <w:r>
        <w:rPr>
          <w:rFonts w:ascii="Times New Roman" w:hAnsi="Times New Roman"/>
          <w:sz w:val="20"/>
          <w:u w:val="single"/>
        </w:rPr>
        <w:t>provided that</w:t>
      </w:r>
      <w:r>
        <w:rPr>
          <w:rFonts w:ascii="Times New Roman" w:hAnsi="Times New Roman"/>
          <w:sz w:val="20"/>
        </w:rPr>
        <w:t xml:space="preserve"> any such action may not, without the written consent of a Participant, impair any of such Participant’s rights under any Option previously granted. </w:t>
      </w:r>
    </w:p>
    <w:p>
      <w:pPr>
        <w:pStyle w:val="TextBody"/>
        <w:bidi w:val="0"/>
        <w:spacing w:before="240" w:after="0"/>
        <w:jc w:val="left"/>
        <w:rPr>
          <w:rFonts w:ascii="Times New Roman" w:hAnsi="Times New Roman"/>
          <w:sz w:val="20"/>
        </w:rPr>
      </w:pPr>
      <w:r>
        <w:rPr>
          <w:rFonts w:ascii="Times New Roman" w:hAnsi="Times New Roman"/>
          <w:b/>
          <w:sz w:val="20"/>
        </w:rPr>
        <w:t>5.8.</w:t>
      </w:r>
      <w:r>
        <w:rPr>
          <w:rFonts w:ascii="Times New Roman" w:hAnsi="Times New Roman"/>
          <w:sz w:val="20"/>
        </w:rPr>
        <w:t xml:space="preserve"> </w:t>
      </w:r>
      <w:r>
        <w:rPr>
          <w:rFonts w:ascii="Times New Roman" w:hAnsi="Times New Roman"/>
          <w:sz w:val="20"/>
          <w:u w:val="single"/>
        </w:rPr>
        <w:t>Limitation on Exercise</w:t>
      </w:r>
      <w:r>
        <w:rPr>
          <w:rFonts w:ascii="Times New Roman" w:hAnsi="Times New Roman"/>
          <w:sz w:val="20"/>
        </w:rPr>
        <w:t xml:space="preserve">. The Committee may specify a minimum number of Shares that may be purchased on any exercise of an Option, provided that such minimum number will not prevent any Participant from exercising the Option for the full number of Shares for which it is then exercisable.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RESTRICTED STOCK UNITS</w:t>
      </w:r>
      <w:r>
        <w:rPr>
          <w:rFonts w:ascii="Times New Roman" w:hAnsi="Times New Roman"/>
          <w:sz w:val="20"/>
        </w:rPr>
        <w:t>. A Restricted Stock Unit (“</w:t>
      </w:r>
      <w:r>
        <w:rPr>
          <w:rFonts w:ascii="Times New Roman" w:hAnsi="Times New Roman"/>
          <w:b/>
          <w:i/>
          <w:sz w:val="20"/>
        </w:rPr>
        <w:t>RSU</w:t>
      </w:r>
      <w:r>
        <w:rPr>
          <w:rFonts w:ascii="Times New Roman" w:hAnsi="Times New Roman"/>
          <w:sz w:val="20"/>
        </w:rPr>
        <w:t xml:space="preserve">”) is an award to an eligible Employee covering a number of Shares that may be settled in cash or by issuance of those Shares (which may consist of restricted stock). All RSUs will be made pursuant to an Award Agreement. </w:t>
      </w:r>
    </w:p>
    <w:p>
      <w:pPr>
        <w:pStyle w:val="TextBody"/>
        <w:bidi w:val="0"/>
        <w:spacing w:before="240" w:after="0"/>
        <w:jc w:val="left"/>
        <w:rPr>
          <w:rFonts w:ascii="Times New Roman" w:hAnsi="Times New Roman"/>
          <w:sz w:val="20"/>
        </w:rPr>
      </w:pPr>
      <w:r>
        <w:rPr>
          <w:rFonts w:ascii="Times New Roman" w:hAnsi="Times New Roman"/>
          <w:b/>
          <w:sz w:val="20"/>
        </w:rPr>
        <w:t>6.1.</w:t>
      </w:r>
      <w:r>
        <w:rPr>
          <w:rFonts w:ascii="Times New Roman" w:hAnsi="Times New Roman"/>
          <w:sz w:val="20"/>
        </w:rPr>
        <w:t xml:space="preserve"> </w:t>
      </w:r>
      <w:r>
        <w:rPr>
          <w:rFonts w:ascii="Times New Roman" w:hAnsi="Times New Roman"/>
          <w:sz w:val="20"/>
          <w:u w:val="single"/>
        </w:rPr>
        <w:t>Terms of RSUs</w:t>
      </w:r>
      <w:r>
        <w:rPr>
          <w:rFonts w:ascii="Times New Roman" w:hAnsi="Times New Roman"/>
          <w:sz w:val="20"/>
        </w:rPr>
        <w:t xml:space="preserve">. The Committee will determine the terms of an RSU including, without limitation: (a) the number of Shares subject to the RSU, (b) the time or times during which the RSU may be settled, (c) the consideration to be distributed on settlement, and (d) the effect of the Participant’s termination of Service on each RSU, provided that no RSU will have a term longer than ten (10) years.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RSU may be awarded upon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 </w:t>
      </w:r>
    </w:p>
    <w:p>
      <w:pPr>
        <w:pStyle w:val="TextBody"/>
        <w:bidi w:val="0"/>
        <w:spacing w:before="240" w:after="0"/>
        <w:jc w:val="left"/>
        <w:rPr>
          <w:rFonts w:ascii="Times New Roman" w:hAnsi="Times New Roman"/>
          <w:sz w:val="20"/>
        </w:rPr>
      </w:pPr>
      <w:r>
        <w:rPr>
          <w:rFonts w:ascii="Times New Roman" w:hAnsi="Times New Roman"/>
          <w:b/>
          <w:sz w:val="20"/>
        </w:rPr>
        <w:t>6.2.</w:t>
      </w:r>
      <w:r>
        <w:rPr>
          <w:rFonts w:ascii="Times New Roman" w:hAnsi="Times New Roman"/>
          <w:sz w:val="20"/>
        </w:rPr>
        <w:t xml:space="preserve"> </w:t>
      </w:r>
      <w:r>
        <w:rPr>
          <w:rFonts w:ascii="Times New Roman" w:hAnsi="Times New Roman"/>
          <w:sz w:val="20"/>
          <w:u w:val="single"/>
        </w:rPr>
        <w:t>Form and Timing of Settlement</w:t>
      </w:r>
      <w:r>
        <w:rPr>
          <w:rFonts w:ascii="Times New Roman" w:hAnsi="Times New Roman"/>
          <w:sz w:val="20"/>
        </w:rPr>
        <w:t xml:space="preserve">. Payment of earned RSUs will be made as soon as practicable after the date(s) determined by the Committee and set forth in the Award Agreement. The Committee, in its sole discretion, may settle earned RSUs in cash, Shares, or a combination of both. The Committee may also permit a Participant to defer payment under a RSU to a date or dates after the RSU is earned, </w:t>
      </w:r>
      <w:r>
        <w:rPr>
          <w:rFonts w:ascii="Times New Roman" w:hAnsi="Times New Roman"/>
          <w:sz w:val="20"/>
          <w:u w:val="single"/>
        </w:rPr>
        <w:t>provided that</w:t>
      </w:r>
      <w:r>
        <w:rPr>
          <w:rFonts w:ascii="Times New Roman" w:hAnsi="Times New Roman"/>
          <w:sz w:val="20"/>
        </w:rPr>
        <w:t xml:space="preserve"> the terms of the RSU and any deferral satisfy the requirements of Section 409A of the Code to the extent applicable. </w:t>
      </w:r>
    </w:p>
    <w:p>
      <w:pPr>
        <w:pStyle w:val="TextBody"/>
        <w:bidi w:val="0"/>
        <w:spacing w:before="240" w:after="0"/>
        <w:jc w:val="left"/>
        <w:rPr>
          <w:rFonts w:ascii="Times New Roman" w:hAnsi="Times New Roman"/>
          <w:sz w:val="20"/>
        </w:rPr>
      </w:pPr>
      <w:r>
        <w:rPr>
          <w:rFonts w:ascii="Times New Roman" w:hAnsi="Times New Roman"/>
          <w:b/>
          <w:sz w:val="20"/>
        </w:rPr>
        <w:t>6.3.</w:t>
      </w:r>
      <w:r>
        <w:rPr>
          <w:rFonts w:ascii="Times New Roman" w:hAnsi="Times New Roman"/>
          <w:sz w:val="20"/>
        </w:rPr>
        <w:t xml:space="preserve"> </w:t>
      </w:r>
      <w:r>
        <w:rPr>
          <w:rFonts w:ascii="Times New Roman" w:hAnsi="Times New Roman"/>
          <w:sz w:val="20"/>
          <w:u w:val="single"/>
        </w:rPr>
        <w:t>Termination of Service</w:t>
      </w:r>
      <w:r>
        <w:rPr>
          <w:rFonts w:ascii="Times New Roman" w:hAnsi="Times New Roman"/>
          <w:sz w:val="20"/>
        </w:rPr>
        <w:t xml:space="preserve">. Except as may be set forth in the Participant’s Award Agreement, vesting ceases on such date Participant’s Service terminates (unless determined otherwise by the Committee).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PAYMENT FOR SHARE PURCHASES</w:t>
      </w:r>
      <w:r>
        <w:rPr>
          <w:rFonts w:ascii="Times New Roman" w:hAnsi="Times New Roman"/>
          <w:sz w:val="20"/>
        </w:rPr>
        <w:t xml:space="preserve">. Payment from a Participant for Shares purchased pursuant to this Plan may be made in cash or by check or, where expressly approved for the Participant by the Committee and where permitted by law (and to the extent not otherwise set forth in the applicable Award Agreement): </w:t>
      </w:r>
    </w:p>
    <w:p>
      <w:pPr>
        <w:pStyle w:val="TextBody"/>
        <w:bidi w:val="0"/>
        <w:spacing w:before="120" w:after="0"/>
        <w:jc w:val="left"/>
        <w:rPr>
          <w:rFonts w:ascii="Times New Roman" w:hAnsi="Times New Roman"/>
          <w:sz w:val="20"/>
        </w:rPr>
      </w:pPr>
      <w:r>
        <w:rPr>
          <w:rFonts w:ascii="Times New Roman" w:hAnsi="Times New Roman"/>
          <w:sz w:val="20"/>
        </w:rPr>
        <w:t xml:space="preserve">(a) by cancellation of indebtedness of the Company to the Participant; </w:t>
      </w:r>
    </w:p>
    <w:p>
      <w:pPr>
        <w:pStyle w:val="TextBody"/>
        <w:bidi w:val="0"/>
        <w:spacing w:before="240" w:after="0"/>
        <w:jc w:val="left"/>
        <w:rPr>
          <w:rFonts w:ascii="Times New Roman" w:hAnsi="Times New Roman"/>
          <w:sz w:val="20"/>
        </w:rPr>
      </w:pPr>
      <w:r>
        <w:rPr>
          <w:rFonts w:ascii="Times New Roman" w:hAnsi="Times New Roman"/>
          <w:sz w:val="20"/>
        </w:rPr>
        <w:t xml:space="preserve">(b) by surrender of shares of the Company held by the Participant that have a Fair Market Value on the date of surrender equal to the aggregate exercise price of the Shares as to which said Award will be exercised or settled; </w:t>
      </w:r>
    </w:p>
    <w:p>
      <w:pPr>
        <w:pStyle w:val="TextBody"/>
        <w:bidi w:val="0"/>
        <w:spacing w:before="240" w:after="0"/>
        <w:jc w:val="left"/>
        <w:rPr>
          <w:rFonts w:ascii="Times New Roman" w:hAnsi="Times New Roman"/>
          <w:sz w:val="20"/>
        </w:rPr>
      </w:pPr>
      <w:r>
        <w:rPr>
          <w:rFonts w:ascii="Times New Roman" w:hAnsi="Times New Roman"/>
          <w:sz w:val="20"/>
        </w:rPr>
        <w:t xml:space="preserve">(c) by waiver of compensation due or accrued to the Participant for services rendered or to be rendered to the Company or a Parent or Subsidiary; </w:t>
      </w:r>
    </w:p>
    <w:p>
      <w:pPr>
        <w:pStyle w:val="TextBody"/>
        <w:bidi w:val="0"/>
        <w:spacing w:before="240" w:after="0"/>
        <w:jc w:val="left"/>
        <w:rPr>
          <w:rFonts w:ascii="Times New Roman" w:hAnsi="Times New Roman"/>
          <w:sz w:val="20"/>
        </w:rPr>
      </w:pPr>
      <w:r>
        <w:rPr>
          <w:rFonts w:ascii="Times New Roman" w:hAnsi="Times New Roman"/>
          <w:sz w:val="20"/>
        </w:rPr>
        <w:t xml:space="preserve">(d) by consideration received by the Company pursuant to a broker-assisted or other form of cashless exercise program implemented by the Company in connection with the Plan; </w:t>
      </w:r>
    </w:p>
    <w:p>
      <w:pPr>
        <w:pStyle w:val="TextBody"/>
        <w:bidi w:val="0"/>
        <w:spacing w:before="240" w:after="0"/>
        <w:jc w:val="left"/>
        <w:rPr>
          <w:rFonts w:ascii="Times New Roman" w:hAnsi="Times New Roman"/>
          <w:sz w:val="20"/>
        </w:rPr>
      </w:pPr>
      <w:r>
        <w:rPr>
          <w:rFonts w:ascii="Times New Roman" w:hAnsi="Times New Roman"/>
          <w:sz w:val="20"/>
        </w:rPr>
        <w:t xml:space="preserve">(e) by any combination of the foregoing; or </w:t>
      </w:r>
    </w:p>
    <w:p>
      <w:pPr>
        <w:pStyle w:val="TextBody"/>
        <w:bidi w:val="0"/>
        <w:spacing w:before="240" w:after="0"/>
        <w:jc w:val="left"/>
        <w:rPr>
          <w:rFonts w:ascii="Times New Roman" w:hAnsi="Times New Roman"/>
          <w:sz w:val="20"/>
        </w:rPr>
      </w:pPr>
      <w:r>
        <w:rPr>
          <w:rFonts w:ascii="Times New Roman" w:hAnsi="Times New Roman"/>
          <w:sz w:val="20"/>
        </w:rPr>
        <w:t xml:space="preserve">(f) by any other method of payment as is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Committee may limit the availability of any method of payment, to the extent the Committee determines, in its discretion, such limitation is necessary or advisable to comply with applicable law or facilitate the administration of the Plan.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WITHHOLDING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8.1.</w:t>
      </w:r>
      <w:r>
        <w:rPr>
          <w:rFonts w:ascii="Times New Roman" w:hAnsi="Times New Roman"/>
          <w:sz w:val="20"/>
        </w:rPr>
        <w:t xml:space="preserve"> </w:t>
      </w:r>
      <w:r>
        <w:rPr>
          <w:rFonts w:ascii="Times New Roman" w:hAnsi="Times New Roman"/>
          <w:sz w:val="20"/>
          <w:u w:val="single"/>
        </w:rPr>
        <w:t>Withholding Generally</w:t>
      </w:r>
      <w:r>
        <w:rPr>
          <w:rFonts w:ascii="Times New Roman" w:hAnsi="Times New Roman"/>
          <w:sz w:val="20"/>
        </w:rPr>
        <w:t xml:space="preserve">. Whenever Shares are to be issued in satisfaction of Awards granted under this Plan or a tax event occurs, the Company may require the Participant to remit to the Company, or to the Parent, Subsidiary, or Affiliate, as applicable, employing the Participant an amount sufficient to satisfy applicable U.S. federal, state, local, and international tax or any other tax or social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insurance liability (the “</w:t>
      </w:r>
      <w:r>
        <w:rPr>
          <w:rFonts w:ascii="Times New Roman" w:hAnsi="Times New Roman"/>
          <w:b/>
          <w:i/>
          <w:sz w:val="20"/>
        </w:rPr>
        <w:t>Tax-Related Items</w:t>
      </w:r>
      <w:r>
        <w:rPr>
          <w:rFonts w:ascii="Times New Roman" w:hAnsi="Times New Roman"/>
          <w:sz w:val="20"/>
        </w:rPr>
        <w:t xml:space="preserve">”) legally due from the Participant prior to the delivery of Shares pursuant to exercise or settlement of any Award. Whenever payments in satisfaction of Awards granted under this Plan are to be made in cash, such payment will be net of an amount sufficient to satisfy applicable withholding obligations for Tax-Related Items. Unless otherwise determined by the Committee, the Fair Market Value of the Shares will be determined as of the date that the taxes are required to be withheld and such Shares will be valued based on the value of the actual trade or, if there is none, the Fair Market Value of the Shares as of the previous trading day. </w:t>
      </w:r>
    </w:p>
    <w:p>
      <w:pPr>
        <w:pStyle w:val="TextBody"/>
        <w:bidi w:val="0"/>
        <w:spacing w:before="240" w:after="0"/>
        <w:jc w:val="left"/>
        <w:rPr>
          <w:rFonts w:ascii="Times New Roman" w:hAnsi="Times New Roman"/>
          <w:sz w:val="20"/>
        </w:rPr>
      </w:pPr>
      <w:r>
        <w:rPr>
          <w:rFonts w:ascii="Times New Roman" w:hAnsi="Times New Roman"/>
          <w:b/>
          <w:sz w:val="20"/>
        </w:rPr>
        <w:t>8.2.</w:t>
      </w:r>
      <w:r>
        <w:rPr>
          <w:rFonts w:ascii="Times New Roman" w:hAnsi="Times New Roman"/>
          <w:sz w:val="20"/>
        </w:rPr>
        <w:t xml:space="preserve"> </w:t>
      </w:r>
      <w:r>
        <w:rPr>
          <w:rFonts w:ascii="Times New Roman" w:hAnsi="Times New Roman"/>
          <w:sz w:val="20"/>
          <w:u w:val="single"/>
        </w:rPr>
        <w:t>Stock Withholding</w:t>
      </w:r>
      <w:r>
        <w:rPr>
          <w:rFonts w:ascii="Times New Roman" w:hAnsi="Times New Roman"/>
          <w:sz w:val="20"/>
        </w:rPr>
        <w:t xml:space="preserve">. The Committee, or its delegate(s), as permitted by applicable law, in its sole discretion and pursuant to such procedures as it may specify from time to time and to limitations of local law, may require or permit a Participant to satisfy such Tax Related Items legally due from the Participant, in whole or in part by (without limitation) (a) paying cash, (b) having the Company withhold otherwise deliverable cash or Shares having a Fair Market Value equal to the Tax-Related Items to be withheld, (c) delivering to the Company already-owned shares having a Fair Market Value equal to the Tax-Related Items to be withheld, or (d) withholding from the proceeds of the sale of otherwise deliverable Shares acquired pursuant to an Award either through a voluntary sale or through a mandatory sale arranged by the Company. The Company may withhold or account for these Tax-Related Items by considering applicable statutory withholding rates or other applicable withholding rates, including up to the maximum permissible statutory tax rate for the applicable tax jurisdiction, to the extent consistent with applicable laws.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TRANSFERABILITY</w:t>
      </w:r>
      <w:r>
        <w:rPr>
          <w:rFonts w:ascii="Times New Roman" w:hAnsi="Times New Roman"/>
          <w:sz w:val="20"/>
        </w:rPr>
        <w:t xml:space="preserve">. Unless determined otherwise by the Committee, an Award may not be sold, pledged, assigned, 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will be exercisable: (a) during the Participant’s lifetime only by the Participant or the Participant’s guardian or legal representative; (b) after the Participant’s death, by the legal representative of the Participant’s heirs or legatees; and (c) by a Permitted Transferee.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PRIVILEGES OF STOCK OWNERSHIP; RESTRICTIONS ON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10.1.</w:t>
      </w:r>
      <w:r>
        <w:rPr>
          <w:rFonts w:ascii="Times New Roman" w:hAnsi="Times New Roman"/>
          <w:sz w:val="20"/>
        </w:rPr>
        <w:t xml:space="preserve"> </w:t>
      </w:r>
      <w:r>
        <w:rPr>
          <w:rFonts w:ascii="Times New Roman" w:hAnsi="Times New Roman"/>
          <w:sz w:val="20"/>
          <w:u w:val="single"/>
        </w:rPr>
        <w:t>Voting and Dividends</w:t>
      </w:r>
      <w:r>
        <w:rPr>
          <w:rFonts w:ascii="Times New Roman" w:hAnsi="Times New Roman"/>
          <w:sz w:val="20"/>
        </w:rPr>
        <w:t xml:space="preserve">. No Participant will have any of the rights of a stockholder with respect to any Shares until the Shares are issued to the 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will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Times New Roman" w:hAnsi="Times New Roman"/>
          <w:sz w:val="20"/>
          <w:u w:val="single"/>
        </w:rPr>
        <w:t>provided</w:t>
      </w:r>
      <w:r>
        <w:rPr>
          <w:rFonts w:ascii="Times New Roman" w:hAnsi="Times New Roman"/>
          <w:sz w:val="20"/>
        </w:rPr>
        <w:t xml:space="preserve">, that if such Shares are restricted shares,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shares;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Participant will have no right to such stock dividends or stock distributions with respect to Unvested Shares, and any such dividends or stock distributions will be accrued and paid only at such time, if any, as such Unvested Shares become vested Shares. The Committee, in its discretion, may provide in the Award Agreement evidencing any Award that the Participant will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is exercised or settled or the date on which it is forfeited</w:t>
      </w:r>
      <w:r>
        <w:rPr>
          <w:rFonts w:ascii="Times New Roman" w:hAnsi="Times New Roman"/>
          <w:sz w:val="20"/>
          <w:u w:val="single"/>
        </w:rPr>
        <w:t xml:space="preserve"> provided</w:t>
      </w:r>
      <w:r>
        <w:rPr>
          <w:rFonts w:ascii="Times New Roman" w:hAnsi="Times New Roman"/>
          <w:sz w:val="20"/>
        </w:rPr>
        <w:t xml:space="preserve">, that no Dividend Equivalent Right will be paid with respect to the Unvested Shares, and such dividends or stock distributions will be accrued and paid only at such time, if any, as such Unvested Shares become vested Shares. Such Dividend Equivalent Rights, if any, will be credited to the Participant in the form of additional whole Shares as of the date of payment of such cash dividends on Shares. </w:t>
      </w:r>
    </w:p>
    <w:p>
      <w:pPr>
        <w:pStyle w:val="TextBody"/>
        <w:bidi w:val="0"/>
        <w:spacing w:before="240" w:after="0"/>
        <w:jc w:val="left"/>
        <w:rPr>
          <w:rFonts w:ascii="Times New Roman" w:hAnsi="Times New Roman"/>
          <w:sz w:val="20"/>
        </w:rPr>
      </w:pPr>
      <w:r>
        <w:rPr>
          <w:rFonts w:ascii="Times New Roman" w:hAnsi="Times New Roman"/>
          <w:b/>
          <w:sz w:val="20"/>
        </w:rPr>
        <w:t>10.2.</w:t>
      </w:r>
      <w:r>
        <w:rPr>
          <w:rFonts w:ascii="Times New Roman" w:hAnsi="Times New Roman"/>
          <w:sz w:val="20"/>
        </w:rPr>
        <w:t xml:space="preserve"> </w:t>
      </w:r>
      <w:r>
        <w:rPr>
          <w:rFonts w:ascii="Times New Roman" w:hAnsi="Times New Roman"/>
          <w:sz w:val="20"/>
          <w:u w:val="single"/>
        </w:rPr>
        <w:t>Restrictions on Shares</w:t>
      </w:r>
      <w:r>
        <w:rPr>
          <w:rFonts w:ascii="Times New Roman" w:hAnsi="Times New Roman"/>
          <w:sz w:val="20"/>
        </w:rPr>
        <w:t>. At the discretion of the Committee, the Company may reserve to itself and/or its assignee(s) a right to repurchase (a “</w:t>
      </w:r>
      <w:r>
        <w:rPr>
          <w:rFonts w:ascii="Times New Roman" w:hAnsi="Times New Roman"/>
          <w:b/>
          <w:i/>
          <w:sz w:val="20"/>
        </w:rPr>
        <w:t>Right of Repurchase</w:t>
      </w:r>
      <w:r>
        <w:rPr>
          <w:rFonts w:ascii="Times New Roman" w:hAnsi="Times New Roman"/>
          <w:sz w:val="20"/>
        </w:rPr>
        <w:t xml:space="preserve">”)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Exercise Price.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CERTIFICATES</w:t>
      </w:r>
      <w:r>
        <w:rPr>
          <w:rFonts w:ascii="Times New Roman" w:hAnsi="Times New Roman"/>
          <w:sz w:val="20"/>
        </w:rPr>
        <w:t xml:space="preserve">. All Shares or other securities whether or not certificated, delivered under this Plan will be subject to such stock transfer 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ESCROW; PLEDGE OF SHARES</w:t>
      </w:r>
      <w:r>
        <w:rPr>
          <w:rFonts w:ascii="Times New Roman" w:hAnsi="Times New Roman"/>
          <w:sz w:val="20"/>
        </w:rPr>
        <w:t xml:space="preserve">. To enforce any restrictions on a Participant’s Shares, the Committee may require the Participant to deposit all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provided, however,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SECURITIES LAW AND OTHER REGULATORY COMPLIANCE</w:t>
      </w:r>
      <w:r>
        <w:rPr>
          <w:rFonts w:ascii="Times New Roman" w:hAnsi="Times New Roman"/>
          <w:sz w:val="20"/>
        </w:rPr>
        <w:t xml:space="preserve">. An Award will not be effective unless such Award is in compliance with all 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or state securities laws, exchange control laws, stock exchange, or automated quotation system, and the Company will have no liability for any inability or failure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NO OBLIGATION TO EMPLOY</w:t>
      </w:r>
      <w:r>
        <w:rPr>
          <w:rFonts w:ascii="Times New Roman" w:hAnsi="Times New Roman"/>
          <w:sz w:val="20"/>
        </w:rPr>
        <w:t xml:space="preserve">. Nothing in this Plan or any Award granted under this Plan will confer or be deemed to confer on any Participant any right to continue in the employ of, or to continue any other relationship with, the Company or any Parent, Subsidiary, or Affiliate or limit in any way the right of the Company or any Parent, Subsidiary, or Affiliate to terminate Participant’s Service at any time. </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u w:val="single"/>
        </w:rPr>
        <w:t>CORPORATE TRANSACTIONS</w:t>
      </w:r>
      <w:r>
        <w:rPr>
          <w:rFonts w:ascii="Times New Roman" w:hAnsi="Times New Roman"/>
          <w:sz w:val="20"/>
        </w:rPr>
        <w:t xml:space="preserve">. In the event of a Corporate Transaction any or all outstanding Awards may be assumed, converted, replaced, or substituted by the successor corporation, which assumption, conversion, replacement or substitution will be binding on all Participants. In the event of a substitution, the successor corporation may substitute equivalent Awards or provide substantially similar consideration to Participants as was provided to stockholders (after taking into account the existing provisions of the Awards). The successor corporation may also issue, as replacement of outstanding Shares of the Company held by the Participant, substantially similar shares or other property subject to repurchase restrictions no less favorable to the Participant. In the event such successor or acquiring corporation (if any) refuses to assume, convert, replace or substitute Awards, as provided above, pursuant to a Corporate Transaction, then notwithstanding any other provision in this Plan to the contrary, such Awards shall have their vesting accelerate as to all Shares or cash subject to such Awards (and any applicable right of repurchase shall fully lapse) immediately prior to the Corporate Transaction and all such Awards shall expire on such Corporate Transaction at such time and on such conditions as the Board will determine. In addition, in the event such successor or acquiring corporation (if any) refuses to assume, convert, replace, or substitute Awards, as provided above, pursuant to a Corporate Transaction, the Committee will notify the Participant in writing or electronically that such Participant’s Award will, if exercisable, be exercisable for a period of time determined by the Committee in its sole discretion, and such Award will terminate upon the expiration of such period. Awards need not all be treated in the same manner in a Corporate Transaction, and treatment may vary from Award to Award and/or from Participant to Participant. </w:t>
      </w:r>
    </w:p>
    <w:p>
      <w:pPr>
        <w:pStyle w:val="TextBody"/>
        <w:bidi w:val="0"/>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b/>
          <w:sz w:val="20"/>
          <w:u w:val="single"/>
        </w:rPr>
        <w:t>TERM OF PLAN/GOVERNING LAW</w:t>
      </w:r>
      <w:r>
        <w:rPr>
          <w:rFonts w:ascii="Times New Roman" w:hAnsi="Times New Roman"/>
          <w:sz w:val="20"/>
        </w:rPr>
        <w:t xml:space="preserve">. Unless earlier terminated as provided herein, this Plan will become effective on the Effective Date and will terminate ten (10) years from the date this Plan is adopted by the Board. This Plan and all Awards granted hereunder will be governed by and construed in accordance with the laws of the State of Delaware (excluding its conflict of laws rules). </w:t>
      </w:r>
    </w:p>
    <w:p>
      <w:pPr>
        <w:pStyle w:val="TextBody"/>
        <w:bidi w:val="0"/>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sz w:val="20"/>
          <w:u w:val="single"/>
        </w:rPr>
        <w:t>AMENDMENT OR TERMINATION OF PLAN</w:t>
      </w:r>
      <w:r>
        <w:rPr>
          <w:rFonts w:ascii="Times New Roman" w:hAnsi="Times New Roman"/>
          <w:sz w:val="20"/>
        </w:rPr>
        <w:t xml:space="preserve">. The Board may at any time terminate or amend this Plan in any respect, including, without limitation, amendment of any form of Award Agreement or instrument to be executed pursuant to this Plan, provided, however, that the Board will not, without the approval of the stockholders of the Company, amend this Plan in any manner that requires such stockholder approval, provided further that a Participant’s Award will be governed by the version of this Plan then in effect at the time such Award was granted. No termination or amendment of the Plan will affect any then-outstanding Award unless expressly provided by the Committee. In any event, no termination or amendment of the Plan or any outstanding Award may adversely affect any then outstanding Award without the consent of the Participant, unless such termination or amendment is necessary to comply with applicable law, regulation, or rule. </w:t>
      </w:r>
    </w:p>
    <w:p>
      <w:pPr>
        <w:pStyle w:val="TextBody"/>
        <w:bidi w:val="0"/>
        <w:spacing w:before="24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w:t>
      </w:r>
      <w:r>
        <w:rPr>
          <w:rFonts w:ascii="Times New Roman" w:hAnsi="Times New Roman"/>
          <w:b/>
          <w:sz w:val="20"/>
          <w:u w:val="single"/>
        </w:rPr>
        <w:t>NONEXCLUSIVITY OF THE PLAN</w:t>
      </w:r>
      <w:r>
        <w:rPr>
          <w:rFonts w:ascii="Times New Roman" w:hAnsi="Times New Roman"/>
          <w:sz w:val="20"/>
        </w:rPr>
        <w:t xml:space="preserve">. Neither the adoption of this Plan by the Board nor any 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 </w:t>
      </w:r>
    </w:p>
    <w:p>
      <w:pPr>
        <w:pStyle w:val="TextBody"/>
        <w:bidi w:val="0"/>
        <w:spacing w:before="24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w:t>
      </w:r>
      <w:r>
        <w:rPr>
          <w:rFonts w:ascii="Times New Roman" w:hAnsi="Times New Roman"/>
          <w:b/>
          <w:sz w:val="20"/>
          <w:u w:val="single"/>
        </w:rPr>
        <w:t>INSIDER TRADING POLICY</w:t>
      </w:r>
      <w:r>
        <w:rPr>
          <w:rFonts w:ascii="Times New Roman" w:hAnsi="Times New Roman"/>
          <w:sz w:val="20"/>
        </w:rPr>
        <w:t xml:space="preserve">. Each Participant who receives an Award will comply with any policy adopted by the Company from time to time covering transactions in the Company’s securities by Employees, officers, and/or Directors of the Company, as well as with any applicable insider trading or market abuse laws to which the Participant may be subject.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20.</w:t>
      </w:r>
      <w:r>
        <w:rPr>
          <w:rFonts w:ascii="Times New Roman" w:hAnsi="Times New Roman"/>
          <w:sz w:val="20"/>
        </w:rPr>
        <w:t xml:space="preserve"> </w:t>
      </w:r>
      <w:r>
        <w:rPr>
          <w:rFonts w:ascii="Times New Roman" w:hAnsi="Times New Roman"/>
          <w:b/>
          <w:sz w:val="20"/>
          <w:u w:val="single"/>
        </w:rPr>
        <w:t>ALL AWARDS SUBJECT TO COMPANY CLAWBACK OR RECOUPMENT POLICY</w:t>
      </w:r>
      <w:r>
        <w:rPr>
          <w:rFonts w:ascii="Times New Roman" w:hAnsi="Times New Roman"/>
          <w:sz w:val="20"/>
        </w:rPr>
        <w:t xml:space="preserve">. All Awards, subject to applicable law, will be subject to clawback or recoupment pursuant to any compensation clawback or recoupment policy adopted by the Board or required by law during the term of Participant’s employment or other service with the Company that is applicable to officers, Employees, Directors or other service providers of the Company, and in addition to any other remedies available under such policy and applicable law, may require the cancellation of outstanding Awards and the recoupment of any gains realized with respect to Awards.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DEFINITIONS</w:t>
      </w:r>
      <w:r>
        <w:rPr>
          <w:rFonts w:ascii="Times New Roman" w:hAnsi="Times New Roman"/>
          <w:sz w:val="20"/>
        </w:rPr>
        <w:t xml:space="preserve">. As used in this Plan, and except as elsewhere defined herein, the following terms will have the following meanings: </w:t>
      </w:r>
    </w:p>
    <w:p>
      <w:pPr>
        <w:pStyle w:val="TextBody"/>
        <w:bidi w:val="0"/>
        <w:spacing w:before="120" w:after="0"/>
        <w:jc w:val="left"/>
        <w:rPr>
          <w:rFonts w:ascii="Times New Roman" w:hAnsi="Times New Roman"/>
          <w:sz w:val="20"/>
        </w:rPr>
      </w:pPr>
      <w:r>
        <w:rPr>
          <w:rFonts w:ascii="Times New Roman" w:hAnsi="Times New Roman"/>
          <w:b/>
          <w:sz w:val="20"/>
        </w:rPr>
        <w:t>21.1.</w:t>
      </w:r>
      <w:r>
        <w:rPr>
          <w:rFonts w:ascii="Times New Roman" w:hAnsi="Times New Roman"/>
          <w:sz w:val="20"/>
        </w:rPr>
        <w:t xml:space="preserve"> “</w:t>
      </w:r>
      <w:r>
        <w:rPr>
          <w:rFonts w:ascii="Times New Roman" w:hAnsi="Times New Roman"/>
          <w:b/>
          <w:i/>
          <w:sz w:val="20"/>
        </w:rPr>
        <w:t>Affiliate</w:t>
      </w:r>
      <w:r>
        <w:rPr>
          <w:rFonts w:ascii="Times New Roman" w:hAnsi="Times New Roman"/>
          <w:sz w:val="20"/>
        </w:rPr>
        <w:t xml:space="preserve">” means (a) any entity that, directly or indirectly, is controlled by, controls, or is under common control with, the Company, and (b) any entity in which the Company has a significant equity interest, in either case as determined by the Committee, whether now or hereafter existing. </w:t>
      </w:r>
    </w:p>
    <w:p>
      <w:pPr>
        <w:pStyle w:val="TextBody"/>
        <w:bidi w:val="0"/>
        <w:spacing w:before="240" w:after="0"/>
        <w:jc w:val="left"/>
        <w:rPr>
          <w:rFonts w:ascii="Times New Roman" w:hAnsi="Times New Roman"/>
          <w:sz w:val="20"/>
        </w:rPr>
      </w:pPr>
      <w:r>
        <w:rPr>
          <w:rFonts w:ascii="Times New Roman" w:hAnsi="Times New Roman"/>
          <w:b/>
          <w:sz w:val="20"/>
        </w:rPr>
        <w:t>21.2.</w:t>
      </w:r>
      <w:r>
        <w:rPr>
          <w:rFonts w:ascii="Times New Roman" w:hAnsi="Times New Roman"/>
          <w:sz w:val="20"/>
        </w:rPr>
        <w:t xml:space="preserve"> “</w:t>
      </w:r>
      <w:r>
        <w:rPr>
          <w:rFonts w:ascii="Times New Roman" w:hAnsi="Times New Roman"/>
          <w:b/>
          <w:i/>
          <w:sz w:val="20"/>
        </w:rPr>
        <w:t>Award</w:t>
      </w:r>
      <w:r>
        <w:rPr>
          <w:rFonts w:ascii="Times New Roman" w:hAnsi="Times New Roman"/>
          <w:sz w:val="20"/>
        </w:rPr>
        <w:t xml:space="preserve">” means any award under the Plan, including any Option or Restricted Stock Unit. </w:t>
      </w:r>
    </w:p>
    <w:p>
      <w:pPr>
        <w:pStyle w:val="TextBody"/>
        <w:bidi w:val="0"/>
        <w:spacing w:before="240" w:after="0"/>
        <w:jc w:val="left"/>
        <w:rPr>
          <w:rFonts w:ascii="Times New Roman" w:hAnsi="Times New Roman"/>
          <w:sz w:val="20"/>
        </w:rPr>
      </w:pPr>
      <w:r>
        <w:rPr>
          <w:rFonts w:ascii="Times New Roman" w:hAnsi="Times New Roman"/>
          <w:b/>
          <w:sz w:val="20"/>
        </w:rPr>
        <w:t>21.3.</w:t>
      </w:r>
      <w:r>
        <w:rPr>
          <w:rFonts w:ascii="Times New Roman" w:hAnsi="Times New Roman"/>
          <w:sz w:val="20"/>
        </w:rPr>
        <w:t xml:space="preserve"> “</w:t>
      </w:r>
      <w:r>
        <w:rPr>
          <w:rFonts w:ascii="Times New Roman" w:hAnsi="Times New Roman"/>
          <w:b/>
          <w:i/>
          <w:sz w:val="20"/>
        </w:rPr>
        <w:t>Award Agreement</w:t>
      </w:r>
      <w:r>
        <w:rPr>
          <w:rFonts w:ascii="Times New Roman" w:hAnsi="Times New Roman"/>
          <w:sz w:val="20"/>
        </w:rPr>
        <w:t xml:space="preserve">” means, with respect to each Award, the written or electronic agreement between the Company and the Participant setting forth the terms and conditions of the Award, and country-specific appendix thereto for grants to non-U.S. Participants, which will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 </w:t>
      </w:r>
    </w:p>
    <w:p>
      <w:pPr>
        <w:pStyle w:val="TextBody"/>
        <w:bidi w:val="0"/>
        <w:spacing w:before="240" w:after="0"/>
        <w:jc w:val="left"/>
        <w:rPr>
          <w:rFonts w:ascii="Times New Roman" w:hAnsi="Times New Roman"/>
          <w:sz w:val="20"/>
        </w:rPr>
      </w:pPr>
      <w:r>
        <w:rPr>
          <w:rFonts w:ascii="Times New Roman" w:hAnsi="Times New Roman"/>
          <w:b/>
          <w:sz w:val="20"/>
        </w:rPr>
        <w:t>21.4.</w:t>
      </w:r>
      <w:r>
        <w:rPr>
          <w:rFonts w:ascii="Times New Roman" w:hAnsi="Times New Roman"/>
          <w:sz w:val="20"/>
        </w:rPr>
        <w:t xml:space="preserve">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b/>
          <w:sz w:val="20"/>
        </w:rPr>
        <w:t>21.5.</w:t>
      </w:r>
      <w:r>
        <w:rPr>
          <w:rFonts w:ascii="Times New Roman" w:hAnsi="Times New Roman"/>
          <w:sz w:val="20"/>
        </w:rPr>
        <w:t xml:space="preserve"> “</w:t>
      </w:r>
      <w:r>
        <w:rPr>
          <w:rFonts w:ascii="Times New Roman" w:hAnsi="Times New Roman"/>
          <w:b/>
          <w:i/>
          <w:sz w:val="20"/>
        </w:rPr>
        <w:t>Cause</w:t>
      </w:r>
      <w:r>
        <w:rPr>
          <w:rFonts w:ascii="Times New Roman" w:hAnsi="Times New Roman"/>
          <w:sz w:val="20"/>
        </w:rPr>
        <w:t xml:space="preserve">” means a determination by the Company that the Participant has committed an act or acts constituting any of the following: (i) dishonesty, fraud, misconduct or negligence in connection with Participant’s duties to the Company, (ii) unauthorized disclosure or use of the Company’s confidential or proprietary information, (iii) misappropriation of a business opportunity of the Company, (iv) materially aiding Company competitor, (v) a felony conviction, (vi) failure or refusal to attend to the duties or obligations of the Participant’s position (vii) violation or breach of, or failure to comply with, the Company’s code of ethics or conduct, any of the Company’s rules, policies or procedures applicable to the Participant or any agreement in effect between the Company and the Participant or (viii) other conduct by such Participant that could be expected to be harmful to the business, interests or reputation of the Company. The determination as to whether Cause for a Participant’s termination exists will be made in good faith by the Company and will be final and binding on the Participant. This definition does not in any way limit the Company’s or any Parent’s or Subsidiary’s ability to terminate a Participant’s employment or services at any time as provided in Section 14 above. Notwithstanding the foregoing, the foregoing definition of “Cause” may, in part or in whole, be modified or replaced in each individual employment agreement, Award Agreement, or other applicable agreement with any Participant, provided that such document supersedes the definition provided in this Section 21.5. </w:t>
      </w:r>
    </w:p>
    <w:p>
      <w:pPr>
        <w:pStyle w:val="TextBody"/>
        <w:bidi w:val="0"/>
        <w:spacing w:before="240" w:after="0"/>
        <w:jc w:val="left"/>
        <w:rPr>
          <w:rFonts w:ascii="Times New Roman" w:hAnsi="Times New Roman"/>
          <w:sz w:val="20"/>
        </w:rPr>
      </w:pPr>
      <w:r>
        <w:rPr>
          <w:rFonts w:ascii="Times New Roman" w:hAnsi="Times New Roman"/>
          <w:b/>
          <w:sz w:val="20"/>
        </w:rPr>
        <w:t>21.6.</w:t>
      </w:r>
      <w:r>
        <w:rPr>
          <w:rFonts w:ascii="Times New Roman" w:hAnsi="Times New Roman"/>
          <w:sz w:val="20"/>
        </w:rPr>
        <w:t xml:space="preserve"> “</w:t>
      </w:r>
      <w:r>
        <w:rPr>
          <w:rFonts w:ascii="Times New Roman" w:hAnsi="Times New Roman"/>
          <w:b/>
          <w:i/>
          <w:sz w:val="20"/>
        </w:rPr>
        <w:t>Code</w:t>
      </w:r>
      <w:r>
        <w:rPr>
          <w:rFonts w:ascii="Times New Roman" w:hAnsi="Times New Roman"/>
          <w:sz w:val="20"/>
        </w:rPr>
        <w:t xml:space="preserve">” means the United States Internal Revenue Code of 1986, as amended, and the regulations promulgated thereunder. </w:t>
      </w:r>
    </w:p>
    <w:p>
      <w:pPr>
        <w:pStyle w:val="TextBody"/>
        <w:bidi w:val="0"/>
        <w:spacing w:before="240" w:after="0"/>
        <w:jc w:val="left"/>
        <w:rPr>
          <w:rFonts w:ascii="Times New Roman" w:hAnsi="Times New Roman"/>
          <w:sz w:val="20"/>
        </w:rPr>
      </w:pPr>
      <w:r>
        <w:rPr>
          <w:rFonts w:ascii="Times New Roman" w:hAnsi="Times New Roman"/>
          <w:b/>
          <w:sz w:val="20"/>
        </w:rPr>
        <w:t>21.7.</w:t>
      </w:r>
      <w:r>
        <w:rPr>
          <w:rFonts w:ascii="Times New Roman" w:hAnsi="Times New Roman"/>
          <w:sz w:val="20"/>
        </w:rPr>
        <w:t xml:space="preserve"> “</w:t>
      </w:r>
      <w:r>
        <w:rPr>
          <w:rFonts w:ascii="Times New Roman" w:hAnsi="Times New Roman"/>
          <w:b/>
          <w:i/>
          <w:sz w:val="20"/>
        </w:rPr>
        <w:t>Committee</w:t>
      </w:r>
      <w:r>
        <w:rPr>
          <w:rFonts w:ascii="Times New Roman" w:hAnsi="Times New Roman"/>
          <w:sz w:val="20"/>
        </w:rPr>
        <w:t xml:space="preserve">” means the Compensation Committee of the Board or those persons to whom administration of the Plan, or part of the Plan, has been delegated as permitted by law. </w:t>
      </w:r>
    </w:p>
    <w:p>
      <w:pPr>
        <w:pStyle w:val="TextBody"/>
        <w:bidi w:val="0"/>
        <w:spacing w:before="240" w:after="0"/>
        <w:jc w:val="left"/>
        <w:rPr>
          <w:rFonts w:ascii="Times New Roman" w:hAnsi="Times New Roman"/>
          <w:sz w:val="20"/>
        </w:rPr>
      </w:pPr>
      <w:r>
        <w:rPr>
          <w:rFonts w:ascii="Times New Roman" w:hAnsi="Times New Roman"/>
          <w:b/>
          <w:sz w:val="20"/>
        </w:rPr>
        <w:t>21.8.</w:t>
      </w:r>
      <w:r>
        <w:rPr>
          <w:rFonts w:ascii="Times New Roman" w:hAnsi="Times New Roman"/>
          <w:sz w:val="20"/>
        </w:rPr>
        <w:t xml:space="preserve">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21.9.</w:t>
      </w:r>
      <w:r>
        <w:rPr>
          <w:rFonts w:ascii="Times New Roman" w:hAnsi="Times New Roman"/>
          <w:sz w:val="20"/>
        </w:rPr>
        <w:t xml:space="preserve"> “</w:t>
      </w:r>
      <w:r>
        <w:rPr>
          <w:rFonts w:ascii="Times New Roman" w:hAnsi="Times New Roman"/>
          <w:b/>
          <w:i/>
          <w:sz w:val="20"/>
        </w:rPr>
        <w:t>Company</w:t>
      </w:r>
      <w:r>
        <w:rPr>
          <w:rFonts w:ascii="Times New Roman" w:hAnsi="Times New Roman"/>
          <w:sz w:val="20"/>
        </w:rPr>
        <w:t xml:space="preserve">” means Stoke Therapeutics, Inc., a Delaware corporation, or any successor corporation. </w:t>
      </w:r>
    </w:p>
    <w:p>
      <w:pPr>
        <w:pStyle w:val="TextBody"/>
        <w:bidi w:val="0"/>
        <w:spacing w:before="240" w:after="0"/>
        <w:jc w:val="left"/>
        <w:rPr>
          <w:rFonts w:ascii="Times New Roman" w:hAnsi="Times New Roman"/>
          <w:sz w:val="20"/>
        </w:rPr>
      </w:pPr>
      <w:r>
        <w:rPr>
          <w:rFonts w:ascii="Times New Roman" w:hAnsi="Times New Roman"/>
          <w:b/>
          <w:sz w:val="20"/>
        </w:rPr>
        <w:t>21.10.</w:t>
      </w:r>
      <w:r>
        <w:rPr>
          <w:rFonts w:ascii="Times New Roman" w:hAnsi="Times New Roman"/>
          <w:sz w:val="20"/>
        </w:rPr>
        <w:t xml:space="preserve"> “</w:t>
      </w:r>
      <w:r>
        <w:rPr>
          <w:rFonts w:ascii="Times New Roman" w:hAnsi="Times New Roman"/>
          <w:b/>
          <w:i/>
          <w:sz w:val="20"/>
        </w:rPr>
        <w:t>Consultant</w:t>
      </w:r>
      <w:r>
        <w:rPr>
          <w:rFonts w:ascii="Times New Roman" w:hAnsi="Times New Roman"/>
          <w:sz w:val="20"/>
        </w:rPr>
        <w:t xml:space="preserve">” means any natural person, including an advisor or independent contractor, engaged by the Company or a Parent, Subsidiary, or Affiliate to render services to such entity. </w:t>
      </w:r>
    </w:p>
    <w:p>
      <w:pPr>
        <w:pStyle w:val="TextBody"/>
        <w:bidi w:val="0"/>
        <w:spacing w:before="240" w:after="0"/>
        <w:jc w:val="left"/>
        <w:rPr>
          <w:rFonts w:ascii="Times New Roman" w:hAnsi="Times New Roman"/>
          <w:sz w:val="20"/>
        </w:rPr>
      </w:pPr>
      <w:r>
        <w:rPr>
          <w:rFonts w:ascii="Times New Roman" w:hAnsi="Times New Roman"/>
          <w:b/>
          <w:sz w:val="20"/>
        </w:rPr>
        <w:t>21.11.</w:t>
      </w:r>
      <w:r>
        <w:rPr>
          <w:rFonts w:ascii="Times New Roman" w:hAnsi="Times New Roman"/>
          <w:sz w:val="20"/>
        </w:rPr>
        <w:t xml:space="preserve"> “</w:t>
      </w:r>
      <w:r>
        <w:rPr>
          <w:rFonts w:ascii="Times New Roman" w:hAnsi="Times New Roman"/>
          <w:b/>
          <w:i/>
          <w:sz w:val="20"/>
        </w:rPr>
        <w:t>Corporate Transaction</w:t>
      </w:r>
      <w:r>
        <w:rPr>
          <w:rFonts w:ascii="Times New Roman" w:hAnsi="Times New Roman"/>
          <w:sz w:val="20"/>
        </w:rPr>
        <w:t xml:space="preserve">” means the occurrence of any of the following events: (a) 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 (b) the consummation of the sale or disposition by the Company of all or substantially all of the Company’s assets; (c)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(d) 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capital stock of the Company), or (e)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 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will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 </w:t>
      </w:r>
    </w:p>
    <w:p>
      <w:pPr>
        <w:pStyle w:val="TextBody"/>
        <w:bidi w:val="0"/>
        <w:spacing w:before="240" w:after="0"/>
        <w:jc w:val="left"/>
        <w:rPr>
          <w:rFonts w:ascii="Times New Roman" w:hAnsi="Times New Roman"/>
          <w:sz w:val="20"/>
        </w:rPr>
      </w:pPr>
      <w:r>
        <w:rPr>
          <w:rFonts w:ascii="Times New Roman" w:hAnsi="Times New Roman"/>
          <w:b/>
          <w:sz w:val="20"/>
        </w:rPr>
        <w:t>21.12.</w:t>
      </w:r>
      <w:r>
        <w:rPr>
          <w:rFonts w:ascii="Times New Roman" w:hAnsi="Times New Roman"/>
          <w:sz w:val="20"/>
        </w:rPr>
        <w:t xml:space="preserve">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b/>
          <w:sz w:val="20"/>
        </w:rPr>
        <w:t>21.13.</w:t>
      </w:r>
      <w:r>
        <w:rPr>
          <w:rFonts w:ascii="Times New Roman" w:hAnsi="Times New Roman"/>
          <w:sz w:val="20"/>
        </w:rPr>
        <w:t xml:space="preserve"> “</w:t>
      </w:r>
      <w:r>
        <w:rPr>
          <w:rFonts w:ascii="Times New Roman" w:hAnsi="Times New Roman"/>
          <w:b/>
          <w:i/>
          <w:sz w:val="20"/>
        </w:rPr>
        <w:t>Disability</w:t>
      </w:r>
      <w:r>
        <w:rPr>
          <w:rFonts w:ascii="Times New Roman" w:hAnsi="Times New Roman"/>
          <w:sz w:val="20"/>
        </w:rPr>
        <w:t xml:space="preserve">” means that the Participant is unable to engage in any substantial gainful activity by reason of any medically determinable physical or mental impairment that can be expected to result in death or can be expected to last for a continuous period of not less than twelve (12) months. </w:t>
      </w:r>
    </w:p>
    <w:p>
      <w:pPr>
        <w:pStyle w:val="TextBody"/>
        <w:bidi w:val="0"/>
        <w:spacing w:before="240" w:after="0"/>
        <w:jc w:val="left"/>
        <w:rPr>
          <w:rFonts w:ascii="Times New Roman" w:hAnsi="Times New Roman"/>
          <w:sz w:val="20"/>
        </w:rPr>
      </w:pPr>
      <w:r>
        <w:rPr>
          <w:rFonts w:ascii="Times New Roman" w:hAnsi="Times New Roman"/>
          <w:b/>
          <w:sz w:val="20"/>
        </w:rPr>
        <w:t>21.14.</w:t>
      </w:r>
      <w:r>
        <w:rPr>
          <w:rFonts w:ascii="Times New Roman" w:hAnsi="Times New Roman"/>
          <w:sz w:val="20"/>
        </w:rPr>
        <w:t xml:space="preserve"> “</w:t>
      </w:r>
      <w:r>
        <w:rPr>
          <w:rFonts w:ascii="Times New Roman" w:hAnsi="Times New Roman"/>
          <w:b/>
          <w:i/>
          <w:sz w:val="20"/>
        </w:rPr>
        <w:t>Dividend Equivalent Right</w:t>
      </w:r>
      <w:r>
        <w:rPr>
          <w:rFonts w:ascii="Times New Roman" w:hAnsi="Times New Roman"/>
          <w:sz w:val="20"/>
        </w:rPr>
        <w:t xml:space="preserve">” means the right of a Participant, granted at the discretion of the Committee or as otherwise provided by the Plan, to receive a credit for the account of such Participant in an amount equal to the cash, stock, or other property dividends in amounts equal equivalent to cash, stock, or other property dividends for each Share represented by an Award held by such Participant. </w:t>
      </w:r>
    </w:p>
    <w:p>
      <w:pPr>
        <w:pStyle w:val="TextBody"/>
        <w:bidi w:val="0"/>
        <w:spacing w:before="240" w:after="0"/>
        <w:jc w:val="left"/>
        <w:rPr>
          <w:rFonts w:ascii="Times New Roman" w:hAnsi="Times New Roman"/>
          <w:sz w:val="20"/>
        </w:rPr>
      </w:pPr>
      <w:r>
        <w:rPr>
          <w:rFonts w:ascii="Times New Roman" w:hAnsi="Times New Roman"/>
          <w:b/>
          <w:sz w:val="20"/>
        </w:rPr>
        <w:t>21.15.</w:t>
      </w:r>
      <w:r>
        <w:rPr>
          <w:rFonts w:ascii="Times New Roman" w:hAnsi="Times New Roman"/>
          <w:sz w:val="20"/>
        </w:rPr>
        <w:t xml:space="preserve"> “</w:t>
      </w:r>
      <w:r>
        <w:rPr>
          <w:rFonts w:ascii="Times New Roman" w:hAnsi="Times New Roman"/>
          <w:b/>
          <w:i/>
          <w:sz w:val="20"/>
        </w:rPr>
        <w:t>Effective Date</w:t>
      </w:r>
      <w:r>
        <w:rPr>
          <w:rFonts w:ascii="Times New Roman" w:hAnsi="Times New Roman"/>
          <w:sz w:val="20"/>
        </w:rPr>
        <w:t xml:space="preserve">” means April 10, 2023, the date the Board adopted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21.16.</w:t>
      </w:r>
      <w:r>
        <w:rPr>
          <w:rFonts w:ascii="Times New Roman" w:hAnsi="Times New Roman"/>
          <w:sz w:val="20"/>
        </w:rPr>
        <w:t xml:space="preserve"> “</w:t>
      </w:r>
      <w:r>
        <w:rPr>
          <w:rFonts w:ascii="Times New Roman" w:hAnsi="Times New Roman"/>
          <w:b/>
          <w:i/>
          <w:sz w:val="20"/>
        </w:rPr>
        <w:t>Employee</w:t>
      </w:r>
      <w:r>
        <w:rPr>
          <w:rFonts w:ascii="Times New Roman" w:hAnsi="Times New Roman"/>
          <w:sz w:val="20"/>
        </w:rPr>
        <w:t xml:space="preserve">” means any person, including officers and Directors, providing services as an employee to the Company or any Parent, Subsidiary, or Affiliate. Neither service as a Director nor payment of a director’s fee by the Company will be sufficient to constitute “employment” by the Company. </w:t>
      </w:r>
    </w:p>
    <w:p>
      <w:pPr>
        <w:pStyle w:val="TextBody"/>
        <w:bidi w:val="0"/>
        <w:spacing w:before="240" w:after="0"/>
        <w:jc w:val="left"/>
        <w:rPr>
          <w:rFonts w:ascii="Times New Roman" w:hAnsi="Times New Roman"/>
          <w:sz w:val="20"/>
        </w:rPr>
      </w:pPr>
      <w:r>
        <w:rPr>
          <w:rFonts w:ascii="Times New Roman" w:hAnsi="Times New Roman"/>
          <w:b/>
          <w:sz w:val="20"/>
        </w:rPr>
        <w:t>21.17.</w:t>
      </w:r>
      <w:r>
        <w:rPr>
          <w:rFonts w:ascii="Times New Roman" w:hAnsi="Times New Roman"/>
          <w:sz w:val="20"/>
        </w:rPr>
        <w:t xml:space="preserve"> “</w:t>
      </w:r>
      <w:r>
        <w:rPr>
          <w:rFonts w:ascii="Times New Roman" w:hAnsi="Times New Roman"/>
          <w:b/>
          <w:i/>
          <w:sz w:val="20"/>
        </w:rPr>
        <w:t>Exchange Act</w:t>
      </w:r>
      <w:r>
        <w:rPr>
          <w:rFonts w:ascii="Times New Roman" w:hAnsi="Times New Roman"/>
          <w:sz w:val="20"/>
        </w:rPr>
        <w:t xml:space="preserve">” means the United States Securities Exchange Act of 1934, as amended. </w:t>
      </w:r>
    </w:p>
    <w:p>
      <w:pPr>
        <w:pStyle w:val="TextBody"/>
        <w:bidi w:val="0"/>
        <w:spacing w:before="240" w:after="0"/>
        <w:jc w:val="left"/>
        <w:rPr>
          <w:rFonts w:ascii="Times New Roman" w:hAnsi="Times New Roman"/>
          <w:sz w:val="20"/>
        </w:rPr>
      </w:pPr>
      <w:r>
        <w:rPr>
          <w:rFonts w:ascii="Times New Roman" w:hAnsi="Times New Roman"/>
          <w:b/>
          <w:sz w:val="20"/>
        </w:rPr>
        <w:t>21.18.</w:t>
      </w:r>
      <w:r>
        <w:rPr>
          <w:rFonts w:ascii="Times New Roman" w:hAnsi="Times New Roman"/>
          <w:sz w:val="20"/>
        </w:rPr>
        <w:t xml:space="preserve"> “</w:t>
      </w:r>
      <w:r>
        <w:rPr>
          <w:rFonts w:ascii="Times New Roman" w:hAnsi="Times New Roman"/>
          <w:b/>
          <w:i/>
          <w:sz w:val="20"/>
        </w:rPr>
        <w:t>Exercise Price</w:t>
      </w:r>
      <w:r>
        <w:rPr>
          <w:rFonts w:ascii="Times New Roman" w:hAnsi="Times New Roman"/>
          <w:sz w:val="20"/>
        </w:rPr>
        <w:t xml:space="preserve">” means, with respect to an Option, the price at which a holder may purchase the Shares issuable upon exercise of an Option. </w:t>
      </w:r>
    </w:p>
    <w:p>
      <w:pPr>
        <w:pStyle w:val="TextBody"/>
        <w:bidi w:val="0"/>
        <w:spacing w:before="240" w:after="0"/>
        <w:jc w:val="left"/>
        <w:rPr>
          <w:rFonts w:ascii="Times New Roman" w:hAnsi="Times New Roman"/>
          <w:sz w:val="20"/>
        </w:rPr>
      </w:pPr>
      <w:r>
        <w:rPr>
          <w:rFonts w:ascii="Times New Roman" w:hAnsi="Times New Roman"/>
          <w:b/>
          <w:sz w:val="20"/>
        </w:rPr>
        <w:t>21.19.</w:t>
      </w:r>
      <w:r>
        <w:rPr>
          <w:rFonts w:ascii="Times New Roman" w:hAnsi="Times New Roman"/>
          <w:sz w:val="20"/>
        </w:rPr>
        <w:t xml:space="preserve"> “</w:t>
      </w:r>
      <w:r>
        <w:rPr>
          <w:rFonts w:ascii="Times New Roman" w:hAnsi="Times New Roman"/>
          <w:b/>
          <w:i/>
          <w:sz w:val="20"/>
        </w:rPr>
        <w:t>Fair Market Value</w:t>
      </w:r>
      <w:r>
        <w:rPr>
          <w:rFonts w:ascii="Times New Roman" w:hAnsi="Times New Roman"/>
          <w:sz w:val="20"/>
        </w:rPr>
        <w:t xml:space="preserve">” means, as of any date, the value of a Share,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Times New Roman" w:hAnsi="Times New Roman"/>
          <w:i/>
          <w:sz w:val="20"/>
        </w:rPr>
        <w:t xml:space="preserve">The Wall Street </w:t>
      </w:r>
      <w:r>
        <w:rPr>
          <w:rFonts w:ascii="Times New Roman" w:hAnsi="Times New Roman"/>
          <w:sz w:val="20"/>
        </w:rPr>
        <w:t xml:space="preserve">Journal or such other source as the Committee deems reliable; </w:t>
      </w:r>
    </w:p>
    <w:p>
      <w:pPr>
        <w:pStyle w:val="TextBody"/>
        <w:bidi w:val="0"/>
        <w:spacing w:before="240" w:after="0"/>
        <w:jc w:val="left"/>
        <w:rPr>
          <w:rFonts w:ascii="Times New Roman" w:hAnsi="Times New Roman"/>
          <w:sz w:val="20"/>
        </w:rPr>
      </w:pPr>
      <w:r>
        <w:rPr>
          <w:rFonts w:ascii="Times New Roman" w:hAnsi="Times New Roman"/>
          <w:sz w:val="20"/>
        </w:rPr>
        <w:t xml:space="preserve">(b) if such Common Stock is publicly traded but is neither listed nor admitted to trading on a national securities exchange, the average of the closing bid and asked prices on the date of determination as reported in </w:t>
      </w:r>
      <w:r>
        <w:rPr>
          <w:rFonts w:ascii="Times New Roman" w:hAnsi="Times New Roman"/>
          <w:i/>
          <w:sz w:val="20"/>
        </w:rPr>
        <w:t>The Wall Street Journal</w:t>
      </w:r>
      <w:r>
        <w:rPr>
          <w:rFonts w:ascii="Times New Roman" w:hAnsi="Times New Roman"/>
          <w:sz w:val="20"/>
        </w:rPr>
        <w:t xml:space="preserve"> or such other source as the Committee deems reliable; </w:t>
      </w:r>
    </w:p>
    <w:p>
      <w:pPr>
        <w:pStyle w:val="TextBody"/>
        <w:bidi w:val="0"/>
        <w:spacing w:before="240" w:after="0"/>
        <w:jc w:val="left"/>
        <w:rPr>
          <w:rFonts w:ascii="Times New Roman" w:hAnsi="Times New Roman"/>
          <w:sz w:val="20"/>
        </w:rPr>
      </w:pPr>
      <w:r>
        <w:rPr>
          <w:rFonts w:ascii="Times New Roman" w:hAnsi="Times New Roman"/>
          <w:sz w:val="20"/>
        </w:rPr>
        <w:t xml:space="preserve">(c) by the Board or the Committee in good faith. </w:t>
      </w:r>
    </w:p>
    <w:p>
      <w:pPr>
        <w:pStyle w:val="TextBody"/>
        <w:bidi w:val="0"/>
        <w:spacing w:before="240" w:after="0"/>
        <w:jc w:val="left"/>
        <w:rPr>
          <w:rFonts w:ascii="Times New Roman" w:hAnsi="Times New Roman"/>
          <w:sz w:val="20"/>
        </w:rPr>
      </w:pPr>
      <w:r>
        <w:rPr>
          <w:rFonts w:ascii="Times New Roman" w:hAnsi="Times New Roman"/>
          <w:b/>
          <w:sz w:val="20"/>
        </w:rPr>
        <w:t>21.20.</w:t>
      </w:r>
      <w:r>
        <w:rPr>
          <w:rFonts w:ascii="Times New Roman" w:hAnsi="Times New Roman"/>
          <w:sz w:val="20"/>
        </w:rPr>
        <w:t xml:space="preserve"> “</w:t>
      </w:r>
      <w:r>
        <w:rPr>
          <w:rFonts w:ascii="Times New Roman" w:hAnsi="Times New Roman"/>
          <w:b/>
          <w:i/>
          <w:sz w:val="20"/>
        </w:rPr>
        <w:t>Insider</w:t>
      </w:r>
      <w:r>
        <w:rPr>
          <w:rFonts w:ascii="Times New Roman" w:hAnsi="Times New Roman"/>
          <w:sz w:val="20"/>
        </w:rPr>
        <w:t xml:space="preserve">” means an officer or Director of the Company or any other person whose transactions in the Company’s Common Stock are subject to Section 16 of the Exchange Act. </w:t>
      </w:r>
    </w:p>
    <w:p>
      <w:pPr>
        <w:pStyle w:val="TextBody"/>
        <w:bidi w:val="0"/>
        <w:spacing w:before="240" w:after="0"/>
        <w:jc w:val="left"/>
        <w:rPr>
          <w:rFonts w:ascii="Times New Roman" w:hAnsi="Times New Roman"/>
          <w:sz w:val="20"/>
        </w:rPr>
      </w:pPr>
      <w:r>
        <w:rPr>
          <w:rFonts w:ascii="Times New Roman" w:hAnsi="Times New Roman"/>
          <w:b/>
          <w:sz w:val="20"/>
        </w:rPr>
        <w:t>21.21.</w:t>
      </w:r>
      <w:r>
        <w:rPr>
          <w:rFonts w:ascii="Times New Roman" w:hAnsi="Times New Roman"/>
          <w:sz w:val="20"/>
        </w:rPr>
        <w:t xml:space="preserve"> “</w:t>
      </w:r>
      <w:r>
        <w:rPr>
          <w:rFonts w:ascii="Times New Roman" w:hAnsi="Times New Roman"/>
          <w:b/>
          <w:i/>
          <w:sz w:val="20"/>
        </w:rPr>
        <w:t>IRS</w:t>
      </w:r>
      <w:r>
        <w:rPr>
          <w:rFonts w:ascii="Times New Roman" w:hAnsi="Times New Roman"/>
          <w:sz w:val="20"/>
        </w:rPr>
        <w:t xml:space="preserve">” means the United States Internal Revenue Service. </w:t>
      </w:r>
    </w:p>
    <w:p>
      <w:pPr>
        <w:pStyle w:val="TextBody"/>
        <w:bidi w:val="0"/>
        <w:spacing w:before="240" w:after="0"/>
        <w:jc w:val="left"/>
        <w:rPr>
          <w:rFonts w:ascii="Times New Roman" w:hAnsi="Times New Roman"/>
          <w:sz w:val="20"/>
        </w:rPr>
      </w:pPr>
      <w:r>
        <w:rPr>
          <w:rFonts w:ascii="Times New Roman" w:hAnsi="Times New Roman"/>
          <w:b/>
          <w:sz w:val="20"/>
        </w:rPr>
        <w:t>21.22.</w:t>
      </w:r>
      <w:r>
        <w:rPr>
          <w:rFonts w:ascii="Times New Roman" w:hAnsi="Times New Roman"/>
          <w:sz w:val="20"/>
        </w:rPr>
        <w:t xml:space="preserve"> “</w:t>
      </w:r>
      <w:r>
        <w:rPr>
          <w:rFonts w:ascii="Times New Roman" w:hAnsi="Times New Roman"/>
          <w:b/>
          <w:i/>
          <w:sz w:val="20"/>
        </w:rPr>
        <w:t>Option</w:t>
      </w:r>
      <w:r>
        <w:rPr>
          <w:rFonts w:ascii="Times New Roman" w:hAnsi="Times New Roman"/>
          <w:sz w:val="20"/>
        </w:rPr>
        <w:t xml:space="preserve">” means an award of an option to purchase Shares pursuant to Section 5. </w:t>
      </w:r>
    </w:p>
    <w:p>
      <w:pPr>
        <w:pStyle w:val="TextBody"/>
        <w:bidi w:val="0"/>
        <w:spacing w:before="240" w:after="0"/>
        <w:jc w:val="left"/>
        <w:rPr>
          <w:rFonts w:ascii="Times New Roman" w:hAnsi="Times New Roman"/>
          <w:sz w:val="20"/>
        </w:rPr>
      </w:pPr>
      <w:r>
        <w:rPr>
          <w:rFonts w:ascii="Times New Roman" w:hAnsi="Times New Roman"/>
          <w:b/>
          <w:sz w:val="20"/>
        </w:rPr>
        <w:t>21.23.</w:t>
      </w:r>
      <w:r>
        <w:rPr>
          <w:rFonts w:ascii="Times New Roman" w:hAnsi="Times New Roman"/>
          <w:sz w:val="20"/>
        </w:rPr>
        <w:t xml:space="preserve"> “</w:t>
      </w:r>
      <w:r>
        <w:rPr>
          <w:rFonts w:ascii="Times New Roman" w:hAnsi="Times New Roman"/>
          <w:b/>
          <w:i/>
          <w:sz w:val="20"/>
        </w:rPr>
        <w:t>Parent</w:t>
      </w:r>
      <w:r>
        <w:rPr>
          <w:rFonts w:ascii="Times New Roman" w:hAnsi="Times New Roman"/>
          <w:sz w:val="20"/>
        </w:rPr>
        <w:t xml:space="preserve">”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 </w:t>
      </w:r>
    </w:p>
    <w:p>
      <w:pPr>
        <w:pStyle w:val="TextBody"/>
        <w:bidi w:val="0"/>
        <w:spacing w:before="240" w:after="0"/>
        <w:jc w:val="left"/>
        <w:rPr>
          <w:rFonts w:ascii="Times New Roman" w:hAnsi="Times New Roman"/>
          <w:sz w:val="20"/>
        </w:rPr>
      </w:pPr>
      <w:r>
        <w:rPr>
          <w:rFonts w:ascii="Times New Roman" w:hAnsi="Times New Roman"/>
          <w:b/>
          <w:sz w:val="20"/>
        </w:rPr>
        <w:t>21.24.</w:t>
      </w:r>
      <w:r>
        <w:rPr>
          <w:rFonts w:ascii="Times New Roman" w:hAnsi="Times New Roman"/>
          <w:sz w:val="20"/>
        </w:rPr>
        <w:t xml:space="preserve"> “</w:t>
      </w:r>
      <w:r>
        <w:rPr>
          <w:rFonts w:ascii="Times New Roman" w:hAnsi="Times New Roman"/>
          <w:b/>
          <w:i/>
          <w:sz w:val="20"/>
        </w:rPr>
        <w:t>Participant</w:t>
      </w:r>
      <w:r>
        <w:rPr>
          <w:rFonts w:ascii="Times New Roman" w:hAnsi="Times New Roman"/>
          <w:sz w:val="20"/>
        </w:rPr>
        <w:t xml:space="preserve">” means a person who holds an Award under this Plan. </w:t>
      </w:r>
    </w:p>
    <w:p>
      <w:pPr>
        <w:pStyle w:val="TextBody"/>
        <w:bidi w:val="0"/>
        <w:spacing w:before="240" w:after="0"/>
        <w:jc w:val="left"/>
        <w:rPr>
          <w:rFonts w:ascii="Times New Roman" w:hAnsi="Times New Roman"/>
          <w:sz w:val="20"/>
        </w:rPr>
      </w:pPr>
      <w:r>
        <w:rPr>
          <w:rFonts w:ascii="Times New Roman" w:hAnsi="Times New Roman"/>
          <w:b/>
          <w:sz w:val="20"/>
        </w:rPr>
        <w:t>21.25.</w:t>
      </w:r>
      <w:r>
        <w:rPr>
          <w:rFonts w:ascii="Times New Roman" w:hAnsi="Times New Roman"/>
          <w:sz w:val="20"/>
        </w:rPr>
        <w:t xml:space="preserve"> “</w:t>
      </w:r>
      <w:r>
        <w:rPr>
          <w:rFonts w:ascii="Times New Roman" w:hAnsi="Times New Roman"/>
          <w:b/>
          <w:i/>
          <w:sz w:val="20"/>
        </w:rPr>
        <w:t>Performance Factors</w:t>
      </w:r>
      <w:r>
        <w:rPr>
          <w:rFonts w:ascii="Times New Roman" w:hAnsi="Times New Roman"/>
          <w:sz w:val="20"/>
        </w:rPr>
        <w:t xml:space="preserve">” means any of the factors selected by the Committee and specified in an Award Agreement, from among the following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(a) profit before tax; </w:t>
      </w:r>
    </w:p>
    <w:p>
      <w:pPr>
        <w:pStyle w:val="TextBody"/>
        <w:bidi w:val="0"/>
        <w:spacing w:before="240" w:after="0"/>
        <w:jc w:val="left"/>
        <w:rPr>
          <w:rFonts w:ascii="Times New Roman" w:hAnsi="Times New Roman"/>
          <w:sz w:val="20"/>
        </w:rPr>
      </w:pPr>
      <w:r>
        <w:rPr>
          <w:rFonts w:ascii="Times New Roman" w:hAnsi="Times New Roman"/>
          <w:sz w:val="20"/>
        </w:rPr>
        <w:t xml:space="preserve">(b) billings; </w:t>
      </w:r>
    </w:p>
    <w:p>
      <w:pPr>
        <w:pStyle w:val="TextBody"/>
        <w:bidi w:val="0"/>
        <w:spacing w:before="240" w:after="0"/>
        <w:jc w:val="left"/>
        <w:rPr>
          <w:rFonts w:ascii="Times New Roman" w:hAnsi="Times New Roman"/>
          <w:sz w:val="20"/>
        </w:rPr>
      </w:pPr>
      <w:r>
        <w:rPr>
          <w:rFonts w:ascii="Times New Roman" w:hAnsi="Times New Roman"/>
          <w:sz w:val="20"/>
        </w:rPr>
        <w:t xml:space="preserve">(c) revenue; </w:t>
      </w:r>
    </w:p>
    <w:p>
      <w:pPr>
        <w:pStyle w:val="TextBody"/>
        <w:bidi w:val="0"/>
        <w:spacing w:before="240" w:after="0"/>
        <w:jc w:val="left"/>
        <w:rPr>
          <w:rFonts w:ascii="Times New Roman" w:hAnsi="Times New Roman"/>
          <w:sz w:val="20"/>
        </w:rPr>
      </w:pPr>
      <w:r>
        <w:rPr>
          <w:rFonts w:ascii="Times New Roman" w:hAnsi="Times New Roman"/>
          <w:sz w:val="20"/>
        </w:rPr>
        <w:t xml:space="preserve">(d) net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earnings (which may include earnings before interest and taxes, earnings before taxes, net earnings, stock-based compensation expenses, depreciation, and amortization); </w:t>
      </w:r>
    </w:p>
    <w:p>
      <w:pPr>
        <w:pStyle w:val="TextBody"/>
        <w:bidi w:val="0"/>
        <w:spacing w:before="240" w:after="0"/>
        <w:jc w:val="left"/>
        <w:rPr>
          <w:rFonts w:ascii="Times New Roman" w:hAnsi="Times New Roman"/>
          <w:sz w:val="20"/>
        </w:rPr>
      </w:pPr>
      <w:r>
        <w:rPr>
          <w:rFonts w:ascii="Times New Roman" w:hAnsi="Times New Roman"/>
          <w:sz w:val="20"/>
        </w:rPr>
        <w:t xml:space="preserve">(f) operating income; </w:t>
      </w:r>
    </w:p>
    <w:p>
      <w:pPr>
        <w:pStyle w:val="TextBody"/>
        <w:bidi w:val="0"/>
        <w:spacing w:before="240" w:after="0"/>
        <w:jc w:val="left"/>
        <w:rPr>
          <w:rFonts w:ascii="Times New Roman" w:hAnsi="Times New Roman"/>
          <w:sz w:val="20"/>
        </w:rPr>
      </w:pPr>
      <w:r>
        <w:rPr>
          <w:rFonts w:ascii="Times New Roman" w:hAnsi="Times New Roman"/>
          <w:sz w:val="20"/>
        </w:rPr>
        <w:t xml:space="preserve">(g) operating margin; </w:t>
      </w:r>
    </w:p>
    <w:p>
      <w:pPr>
        <w:pStyle w:val="TextBody"/>
        <w:bidi w:val="0"/>
        <w:spacing w:before="240" w:after="0"/>
        <w:jc w:val="left"/>
        <w:rPr>
          <w:rFonts w:ascii="Times New Roman" w:hAnsi="Times New Roman"/>
          <w:sz w:val="20"/>
        </w:rPr>
      </w:pPr>
      <w:r>
        <w:rPr>
          <w:rFonts w:ascii="Times New Roman" w:hAnsi="Times New Roman"/>
          <w:sz w:val="20"/>
        </w:rPr>
        <w:t xml:space="preserve">(h) operating profit; </w:t>
      </w:r>
    </w:p>
    <w:p>
      <w:pPr>
        <w:pStyle w:val="TextBody"/>
        <w:bidi w:val="0"/>
        <w:spacing w:before="240" w:after="0"/>
        <w:jc w:val="left"/>
        <w:rPr>
          <w:rFonts w:ascii="Times New Roman" w:hAnsi="Times New Roman"/>
          <w:sz w:val="20"/>
        </w:rPr>
      </w:pPr>
      <w:r>
        <w:rPr>
          <w:rFonts w:ascii="Times New Roman" w:hAnsi="Times New Roman"/>
          <w:sz w:val="20"/>
        </w:rPr>
        <w:t xml:space="preserve">(i) controllable operating profit or net operating profit; </w:t>
      </w:r>
    </w:p>
    <w:p>
      <w:pPr>
        <w:pStyle w:val="TextBody"/>
        <w:bidi w:val="0"/>
        <w:spacing w:before="240" w:after="0"/>
        <w:jc w:val="left"/>
        <w:rPr>
          <w:rFonts w:ascii="Times New Roman" w:hAnsi="Times New Roman"/>
          <w:sz w:val="20"/>
        </w:rPr>
      </w:pPr>
      <w:r>
        <w:rPr>
          <w:rFonts w:ascii="Times New Roman" w:hAnsi="Times New Roman"/>
          <w:sz w:val="20"/>
        </w:rPr>
        <w:t xml:space="preserve">(j) net profit; </w:t>
      </w:r>
    </w:p>
    <w:p>
      <w:pPr>
        <w:pStyle w:val="TextBody"/>
        <w:bidi w:val="0"/>
        <w:spacing w:before="240" w:after="0"/>
        <w:jc w:val="left"/>
        <w:rPr>
          <w:rFonts w:ascii="Times New Roman" w:hAnsi="Times New Roman"/>
          <w:sz w:val="20"/>
        </w:rPr>
      </w:pPr>
      <w:r>
        <w:rPr>
          <w:rFonts w:ascii="Times New Roman" w:hAnsi="Times New Roman"/>
          <w:sz w:val="20"/>
        </w:rPr>
        <w:t xml:space="preserve">(k) gross margin; </w:t>
      </w:r>
    </w:p>
    <w:p>
      <w:pPr>
        <w:pStyle w:val="TextBody"/>
        <w:bidi w:val="0"/>
        <w:spacing w:before="240" w:after="0"/>
        <w:jc w:val="left"/>
        <w:rPr>
          <w:rFonts w:ascii="Times New Roman" w:hAnsi="Times New Roman"/>
          <w:sz w:val="20"/>
        </w:rPr>
      </w:pPr>
      <w:r>
        <w:rPr>
          <w:rFonts w:ascii="Times New Roman" w:hAnsi="Times New Roman"/>
          <w:sz w:val="20"/>
        </w:rPr>
        <w:t xml:space="preserve">(l) operating expenses or operating expenses as a percentage of revenue; </w:t>
      </w:r>
    </w:p>
    <w:p>
      <w:pPr>
        <w:pStyle w:val="TextBody"/>
        <w:bidi w:val="0"/>
        <w:spacing w:before="240" w:after="0"/>
        <w:jc w:val="left"/>
        <w:rPr>
          <w:rFonts w:ascii="Times New Roman" w:hAnsi="Times New Roman"/>
          <w:sz w:val="20"/>
        </w:rPr>
      </w:pPr>
      <w:r>
        <w:rPr>
          <w:rFonts w:ascii="Times New Roman" w:hAnsi="Times New Roman"/>
          <w:sz w:val="20"/>
        </w:rPr>
        <w:t xml:space="preserve">(m) net income; </w:t>
      </w:r>
    </w:p>
    <w:p>
      <w:pPr>
        <w:pStyle w:val="TextBody"/>
        <w:bidi w:val="0"/>
        <w:spacing w:before="240" w:after="0"/>
        <w:jc w:val="left"/>
        <w:rPr>
          <w:rFonts w:ascii="Times New Roman" w:hAnsi="Times New Roman"/>
          <w:sz w:val="20"/>
        </w:rPr>
      </w:pPr>
      <w:r>
        <w:rPr>
          <w:rFonts w:ascii="Times New Roman" w:hAnsi="Times New Roman"/>
          <w:sz w:val="20"/>
        </w:rPr>
        <w:t xml:space="preserve">(n) earnings per share; </w:t>
      </w:r>
    </w:p>
    <w:p>
      <w:pPr>
        <w:pStyle w:val="TextBody"/>
        <w:bidi w:val="0"/>
        <w:spacing w:before="240" w:after="0"/>
        <w:jc w:val="left"/>
        <w:rPr>
          <w:rFonts w:ascii="Times New Roman" w:hAnsi="Times New Roman"/>
          <w:sz w:val="20"/>
        </w:rPr>
      </w:pPr>
      <w:r>
        <w:rPr>
          <w:rFonts w:ascii="Times New Roman" w:hAnsi="Times New Roman"/>
          <w:sz w:val="20"/>
        </w:rPr>
        <w:t xml:space="preserve">(o) total stockholder return; </w:t>
      </w:r>
    </w:p>
    <w:p>
      <w:pPr>
        <w:pStyle w:val="TextBody"/>
        <w:bidi w:val="0"/>
        <w:spacing w:before="240" w:after="0"/>
        <w:jc w:val="left"/>
        <w:rPr>
          <w:rFonts w:ascii="Times New Roman" w:hAnsi="Times New Roman"/>
          <w:sz w:val="20"/>
        </w:rPr>
      </w:pPr>
      <w:r>
        <w:rPr>
          <w:rFonts w:ascii="Times New Roman" w:hAnsi="Times New Roman"/>
          <w:sz w:val="20"/>
        </w:rPr>
        <w:t xml:space="preserve">(p) market share; </w:t>
      </w:r>
    </w:p>
    <w:p>
      <w:pPr>
        <w:pStyle w:val="TextBody"/>
        <w:bidi w:val="0"/>
        <w:spacing w:before="240" w:after="0"/>
        <w:jc w:val="left"/>
        <w:rPr>
          <w:rFonts w:ascii="Times New Roman" w:hAnsi="Times New Roman"/>
          <w:sz w:val="20"/>
        </w:rPr>
      </w:pPr>
      <w:r>
        <w:rPr>
          <w:rFonts w:ascii="Times New Roman" w:hAnsi="Times New Roman"/>
          <w:sz w:val="20"/>
        </w:rPr>
        <w:t xml:space="preserve">(q) return on assets or net assets; </w:t>
      </w:r>
    </w:p>
    <w:p>
      <w:pPr>
        <w:pStyle w:val="TextBody"/>
        <w:bidi w:val="0"/>
        <w:spacing w:before="240" w:after="0"/>
        <w:jc w:val="left"/>
        <w:rPr>
          <w:rFonts w:ascii="Times New Roman" w:hAnsi="Times New Roman"/>
          <w:sz w:val="20"/>
        </w:rPr>
      </w:pPr>
      <w:r>
        <w:rPr>
          <w:rFonts w:ascii="Times New Roman" w:hAnsi="Times New Roman"/>
          <w:sz w:val="20"/>
        </w:rPr>
        <w:t xml:space="preserve">(r) the Company’s stock price; </w:t>
      </w:r>
    </w:p>
    <w:p>
      <w:pPr>
        <w:pStyle w:val="TextBody"/>
        <w:bidi w:val="0"/>
        <w:spacing w:before="240" w:after="0"/>
        <w:jc w:val="left"/>
        <w:rPr>
          <w:rFonts w:ascii="Times New Roman" w:hAnsi="Times New Roman"/>
          <w:sz w:val="20"/>
        </w:rPr>
      </w:pPr>
      <w:r>
        <w:rPr>
          <w:rFonts w:ascii="Times New Roman" w:hAnsi="Times New Roman"/>
          <w:sz w:val="20"/>
        </w:rPr>
        <w:t xml:space="preserve">(s) growth in stockholder value relative to a pre-determined index; </w:t>
      </w:r>
    </w:p>
    <w:p>
      <w:pPr>
        <w:pStyle w:val="TextBody"/>
        <w:bidi w:val="0"/>
        <w:spacing w:before="240" w:after="0"/>
        <w:jc w:val="left"/>
        <w:rPr>
          <w:rFonts w:ascii="Times New Roman" w:hAnsi="Times New Roman"/>
          <w:sz w:val="20"/>
        </w:rPr>
      </w:pPr>
      <w:r>
        <w:rPr>
          <w:rFonts w:ascii="Times New Roman" w:hAnsi="Times New Roman"/>
          <w:sz w:val="20"/>
        </w:rPr>
        <w:t xml:space="preserve">(t) return on equity; </w:t>
      </w:r>
    </w:p>
    <w:p>
      <w:pPr>
        <w:pStyle w:val="TextBody"/>
        <w:bidi w:val="0"/>
        <w:spacing w:before="240" w:after="0"/>
        <w:jc w:val="left"/>
        <w:rPr>
          <w:rFonts w:ascii="Times New Roman" w:hAnsi="Times New Roman"/>
          <w:sz w:val="20"/>
        </w:rPr>
      </w:pPr>
      <w:r>
        <w:rPr>
          <w:rFonts w:ascii="Times New Roman" w:hAnsi="Times New Roman"/>
          <w:sz w:val="20"/>
        </w:rPr>
        <w:t xml:space="preserve">(u) return on invested capital; </w:t>
      </w:r>
    </w:p>
    <w:p>
      <w:pPr>
        <w:pStyle w:val="TextBody"/>
        <w:bidi w:val="0"/>
        <w:spacing w:before="240" w:after="0"/>
        <w:jc w:val="left"/>
        <w:rPr>
          <w:rFonts w:ascii="Times New Roman" w:hAnsi="Times New Roman"/>
          <w:sz w:val="20"/>
        </w:rPr>
      </w:pPr>
      <w:r>
        <w:rPr>
          <w:rFonts w:ascii="Times New Roman" w:hAnsi="Times New Roman"/>
          <w:sz w:val="20"/>
        </w:rPr>
        <w:t xml:space="preserve">(v) cash flow (including free cash flow or operating cash flows); </w:t>
      </w:r>
    </w:p>
    <w:p>
      <w:pPr>
        <w:pStyle w:val="TextBody"/>
        <w:bidi w:val="0"/>
        <w:spacing w:before="240" w:after="0"/>
        <w:jc w:val="left"/>
        <w:rPr>
          <w:rFonts w:ascii="Times New Roman" w:hAnsi="Times New Roman"/>
          <w:sz w:val="20"/>
        </w:rPr>
      </w:pPr>
      <w:r>
        <w:rPr>
          <w:rFonts w:ascii="Times New Roman" w:hAnsi="Times New Roman"/>
          <w:sz w:val="20"/>
        </w:rPr>
        <w:t xml:space="preserve">(w) cash conversion cycle; </w:t>
      </w:r>
    </w:p>
    <w:p>
      <w:pPr>
        <w:pStyle w:val="TextBody"/>
        <w:bidi w:val="0"/>
        <w:spacing w:before="240" w:after="0"/>
        <w:jc w:val="left"/>
        <w:rPr>
          <w:rFonts w:ascii="Times New Roman" w:hAnsi="Times New Roman"/>
          <w:sz w:val="20"/>
        </w:rPr>
      </w:pPr>
      <w:r>
        <w:rPr>
          <w:rFonts w:ascii="Times New Roman" w:hAnsi="Times New Roman"/>
          <w:sz w:val="20"/>
        </w:rPr>
        <w:t xml:space="preserve">(x) economic value added; </w:t>
      </w:r>
    </w:p>
    <w:p>
      <w:pPr>
        <w:pStyle w:val="TextBody"/>
        <w:bidi w:val="0"/>
        <w:spacing w:before="240" w:after="0"/>
        <w:jc w:val="left"/>
        <w:rPr>
          <w:rFonts w:ascii="Times New Roman" w:hAnsi="Times New Roman"/>
          <w:sz w:val="20"/>
        </w:rPr>
      </w:pPr>
      <w:r>
        <w:rPr>
          <w:rFonts w:ascii="Times New Roman" w:hAnsi="Times New Roman"/>
          <w:sz w:val="20"/>
        </w:rPr>
        <w:t xml:space="preserve">(y) individual confidential business objectives; </w:t>
      </w:r>
    </w:p>
    <w:p>
      <w:pPr>
        <w:pStyle w:val="TextBody"/>
        <w:bidi w:val="0"/>
        <w:spacing w:before="240" w:after="0"/>
        <w:jc w:val="left"/>
        <w:rPr>
          <w:rFonts w:ascii="Times New Roman" w:hAnsi="Times New Roman"/>
          <w:sz w:val="20"/>
        </w:rPr>
      </w:pPr>
      <w:r>
        <w:rPr>
          <w:rFonts w:ascii="Times New Roman" w:hAnsi="Times New Roman"/>
          <w:sz w:val="20"/>
        </w:rPr>
        <w:t xml:space="preserve">(z) contract awards or backlog; </w:t>
      </w:r>
    </w:p>
    <w:p>
      <w:pPr>
        <w:pStyle w:val="TextBody"/>
        <w:bidi w:val="0"/>
        <w:spacing w:before="240" w:after="0"/>
        <w:jc w:val="left"/>
        <w:rPr>
          <w:rFonts w:ascii="Times New Roman" w:hAnsi="Times New Roman"/>
          <w:sz w:val="20"/>
        </w:rPr>
      </w:pPr>
      <w:r>
        <w:rPr>
          <w:rFonts w:ascii="Times New Roman" w:hAnsi="Times New Roman"/>
          <w:sz w:val="20"/>
        </w:rPr>
        <w:t xml:space="preserve">(aa) overhead or other expense reduction; </w:t>
      </w:r>
    </w:p>
    <w:p>
      <w:pPr>
        <w:pStyle w:val="TextBody"/>
        <w:bidi w:val="0"/>
        <w:spacing w:before="240" w:after="0"/>
        <w:jc w:val="left"/>
        <w:rPr>
          <w:rFonts w:ascii="Times New Roman" w:hAnsi="Times New Roman"/>
          <w:sz w:val="20"/>
        </w:rPr>
      </w:pPr>
      <w:r>
        <w:rPr>
          <w:rFonts w:ascii="Times New Roman" w:hAnsi="Times New Roman"/>
          <w:sz w:val="20"/>
        </w:rPr>
        <w:t xml:space="preserve">(bb) credit rating; </w:t>
      </w:r>
    </w:p>
    <w:p>
      <w:pPr>
        <w:pStyle w:val="TextBody"/>
        <w:bidi w:val="0"/>
        <w:spacing w:before="240" w:after="0"/>
        <w:jc w:val="left"/>
        <w:rPr>
          <w:rFonts w:ascii="Times New Roman" w:hAnsi="Times New Roman"/>
          <w:sz w:val="20"/>
        </w:rPr>
      </w:pPr>
      <w:r>
        <w:rPr>
          <w:rFonts w:ascii="Times New Roman" w:hAnsi="Times New Roman"/>
          <w:sz w:val="20"/>
        </w:rPr>
        <w:t xml:space="preserve">(cc) strategic plan development and implementation; </w:t>
      </w:r>
    </w:p>
    <w:p>
      <w:pPr>
        <w:pStyle w:val="TextBody"/>
        <w:bidi w:val="0"/>
        <w:spacing w:before="240" w:after="0"/>
        <w:jc w:val="left"/>
        <w:rPr>
          <w:rFonts w:ascii="Times New Roman" w:hAnsi="Times New Roman"/>
          <w:sz w:val="20"/>
        </w:rPr>
      </w:pPr>
      <w:r>
        <w:rPr>
          <w:rFonts w:ascii="Times New Roman" w:hAnsi="Times New Roman"/>
          <w:sz w:val="20"/>
        </w:rPr>
        <w:t xml:space="preserve">(dd) succession plan development and implementation;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(ee) improvement in workforce diversity; </w:t>
      </w:r>
    </w:p>
    <w:p>
      <w:pPr>
        <w:pStyle w:val="TextBody"/>
        <w:bidi w:val="0"/>
        <w:spacing w:before="240" w:after="0"/>
        <w:jc w:val="left"/>
        <w:rPr>
          <w:rFonts w:ascii="Times New Roman" w:hAnsi="Times New Roman"/>
          <w:sz w:val="20"/>
        </w:rPr>
      </w:pPr>
      <w:r>
        <w:rPr>
          <w:rFonts w:ascii="Times New Roman" w:hAnsi="Times New Roman"/>
          <w:sz w:val="20"/>
        </w:rPr>
        <w:t xml:space="preserve">(ff) customer indicators and/or satisfaction; </w:t>
      </w:r>
    </w:p>
    <w:p>
      <w:pPr>
        <w:pStyle w:val="TextBody"/>
        <w:bidi w:val="0"/>
        <w:spacing w:before="240" w:after="0"/>
        <w:jc w:val="left"/>
        <w:rPr>
          <w:rFonts w:ascii="Times New Roman" w:hAnsi="Times New Roman"/>
          <w:sz w:val="20"/>
        </w:rPr>
      </w:pPr>
      <w:r>
        <w:rPr>
          <w:rFonts w:ascii="Times New Roman" w:hAnsi="Times New Roman"/>
          <w:sz w:val="20"/>
        </w:rPr>
        <w:t xml:space="preserve">(gg) new product invention or innovation; </w:t>
      </w:r>
    </w:p>
    <w:p>
      <w:pPr>
        <w:pStyle w:val="TextBody"/>
        <w:bidi w:val="0"/>
        <w:spacing w:before="240" w:after="0"/>
        <w:jc w:val="left"/>
        <w:rPr>
          <w:rFonts w:ascii="Times New Roman" w:hAnsi="Times New Roman"/>
          <w:sz w:val="20"/>
        </w:rPr>
      </w:pPr>
      <w:r>
        <w:rPr>
          <w:rFonts w:ascii="Times New Roman" w:hAnsi="Times New Roman"/>
          <w:sz w:val="20"/>
        </w:rPr>
        <w:t xml:space="preserve">(hh) attainment of research and development milestones; </w:t>
      </w:r>
    </w:p>
    <w:p>
      <w:pPr>
        <w:pStyle w:val="TextBody"/>
        <w:bidi w:val="0"/>
        <w:spacing w:before="240" w:after="0"/>
        <w:jc w:val="left"/>
        <w:rPr>
          <w:rFonts w:ascii="Times New Roman" w:hAnsi="Times New Roman"/>
          <w:sz w:val="20"/>
        </w:rPr>
      </w:pPr>
      <w:r>
        <w:rPr>
          <w:rFonts w:ascii="Times New Roman" w:hAnsi="Times New Roman"/>
          <w:sz w:val="20"/>
        </w:rPr>
        <w:t xml:space="preserve">(ii) improvements in productivity; </w:t>
      </w:r>
    </w:p>
    <w:p>
      <w:pPr>
        <w:pStyle w:val="TextBody"/>
        <w:bidi w:val="0"/>
        <w:spacing w:before="240" w:after="0"/>
        <w:jc w:val="left"/>
        <w:rPr>
          <w:rFonts w:ascii="Times New Roman" w:hAnsi="Times New Roman"/>
          <w:sz w:val="20"/>
        </w:rPr>
      </w:pPr>
      <w:r>
        <w:rPr>
          <w:rFonts w:ascii="Times New Roman" w:hAnsi="Times New Roman"/>
          <w:sz w:val="20"/>
        </w:rPr>
        <w:t xml:space="preserve">(jj) bookings; </w:t>
      </w:r>
    </w:p>
    <w:p>
      <w:pPr>
        <w:pStyle w:val="TextBody"/>
        <w:bidi w:val="0"/>
        <w:spacing w:before="240" w:after="0"/>
        <w:jc w:val="left"/>
        <w:rPr>
          <w:rFonts w:ascii="Times New Roman" w:hAnsi="Times New Roman"/>
          <w:sz w:val="20"/>
        </w:rPr>
      </w:pPr>
      <w:r>
        <w:rPr>
          <w:rFonts w:ascii="Times New Roman" w:hAnsi="Times New Roman"/>
          <w:sz w:val="20"/>
        </w:rPr>
        <w:t xml:space="preserve">(kk) attainment of objective operating goals and employee metrics; </w:t>
      </w:r>
    </w:p>
    <w:p>
      <w:pPr>
        <w:pStyle w:val="TextBody"/>
        <w:bidi w:val="0"/>
        <w:spacing w:before="240" w:after="0"/>
        <w:jc w:val="left"/>
        <w:rPr>
          <w:rFonts w:ascii="Times New Roman" w:hAnsi="Times New Roman"/>
          <w:sz w:val="20"/>
        </w:rPr>
      </w:pPr>
      <w:r>
        <w:rPr>
          <w:rFonts w:ascii="Times New Roman" w:hAnsi="Times New Roman"/>
          <w:sz w:val="20"/>
        </w:rPr>
        <w:t xml:space="preserve">(ll) sales; </w:t>
      </w:r>
    </w:p>
    <w:p>
      <w:pPr>
        <w:pStyle w:val="TextBody"/>
        <w:bidi w:val="0"/>
        <w:spacing w:before="240" w:after="0"/>
        <w:jc w:val="left"/>
        <w:rPr>
          <w:rFonts w:ascii="Times New Roman" w:hAnsi="Times New Roman"/>
          <w:sz w:val="20"/>
        </w:rPr>
      </w:pPr>
      <w:r>
        <w:rPr>
          <w:rFonts w:ascii="Times New Roman" w:hAnsi="Times New Roman"/>
          <w:sz w:val="20"/>
        </w:rPr>
        <w:t xml:space="preserve">(mm) expenses; </w:t>
      </w:r>
    </w:p>
    <w:p>
      <w:pPr>
        <w:pStyle w:val="TextBody"/>
        <w:bidi w:val="0"/>
        <w:spacing w:before="240" w:after="0"/>
        <w:jc w:val="left"/>
        <w:rPr>
          <w:rFonts w:ascii="Times New Roman" w:hAnsi="Times New Roman"/>
          <w:sz w:val="20"/>
        </w:rPr>
      </w:pPr>
      <w:r>
        <w:rPr>
          <w:rFonts w:ascii="Times New Roman" w:hAnsi="Times New Roman"/>
          <w:sz w:val="20"/>
        </w:rPr>
        <w:t xml:space="preserve">(nn) balance of cash, cash equivalents, and marketable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(oo) completion of an identified special project; </w:t>
      </w:r>
    </w:p>
    <w:p>
      <w:pPr>
        <w:pStyle w:val="TextBody"/>
        <w:bidi w:val="0"/>
        <w:spacing w:before="240" w:after="0"/>
        <w:jc w:val="left"/>
        <w:rPr>
          <w:rFonts w:ascii="Times New Roman" w:hAnsi="Times New Roman"/>
          <w:sz w:val="20"/>
        </w:rPr>
      </w:pPr>
      <w:r>
        <w:rPr>
          <w:rFonts w:ascii="Times New Roman" w:hAnsi="Times New Roman"/>
          <w:sz w:val="20"/>
        </w:rPr>
        <w:t xml:space="preserve">(pp) completion of a joint venture or other corporate transaction; </w:t>
      </w:r>
    </w:p>
    <w:p>
      <w:pPr>
        <w:pStyle w:val="TextBody"/>
        <w:bidi w:val="0"/>
        <w:spacing w:before="240" w:after="0"/>
        <w:jc w:val="left"/>
        <w:rPr>
          <w:rFonts w:ascii="Times New Roman" w:hAnsi="Times New Roman"/>
          <w:sz w:val="20"/>
        </w:rPr>
      </w:pPr>
      <w:r>
        <w:rPr>
          <w:rFonts w:ascii="Times New Roman" w:hAnsi="Times New Roman"/>
          <w:sz w:val="20"/>
        </w:rPr>
        <w:t xml:space="preserve">(qq) employee satisfaction and/or retention; </w:t>
      </w:r>
    </w:p>
    <w:p>
      <w:pPr>
        <w:pStyle w:val="TextBody"/>
        <w:bidi w:val="0"/>
        <w:spacing w:before="240" w:after="0"/>
        <w:jc w:val="left"/>
        <w:rPr>
          <w:rFonts w:ascii="Times New Roman" w:hAnsi="Times New Roman"/>
          <w:sz w:val="20"/>
        </w:rPr>
      </w:pPr>
      <w:r>
        <w:rPr>
          <w:rFonts w:ascii="Times New Roman" w:hAnsi="Times New Roman"/>
          <w:sz w:val="20"/>
        </w:rPr>
        <w:t xml:space="preserve">(rr) research and development expenses; </w:t>
      </w:r>
    </w:p>
    <w:p>
      <w:pPr>
        <w:pStyle w:val="TextBody"/>
        <w:bidi w:val="0"/>
        <w:spacing w:before="240" w:after="0"/>
        <w:jc w:val="left"/>
        <w:rPr>
          <w:rFonts w:ascii="Times New Roman" w:hAnsi="Times New Roman"/>
          <w:sz w:val="20"/>
        </w:rPr>
      </w:pPr>
      <w:r>
        <w:rPr>
          <w:rFonts w:ascii="Times New Roman" w:hAnsi="Times New Roman"/>
          <w:sz w:val="20"/>
        </w:rPr>
        <w:t xml:space="preserve">(ss) working capital targets and changes in working capital; and </w:t>
      </w:r>
    </w:p>
    <w:p>
      <w:pPr>
        <w:pStyle w:val="TextBody"/>
        <w:bidi w:val="0"/>
        <w:spacing w:before="240" w:after="0"/>
        <w:jc w:val="left"/>
        <w:rPr>
          <w:rFonts w:ascii="Times New Roman" w:hAnsi="Times New Roman"/>
          <w:sz w:val="20"/>
        </w:rPr>
      </w:pPr>
      <w:r>
        <w:rPr>
          <w:rFonts w:ascii="Times New Roman" w:hAnsi="Times New Roman"/>
          <w:sz w:val="20"/>
        </w:rPr>
        <w:t xml:space="preserve">(tt) any other metric that is capable of measurement as determined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The Committee may provide for one or more equitable adjustments to the Performance Factors to preserve the Committee’s original intent regarding the Performance Factors at the time of the initial award grant, such as but not limited to, adjustments in recognition of unusual or non-recurring items such as acquisition related activities or changes in applicable accounting rules. It is within the sole discretion of the Committee to make or not make any such equitable adjustments. </w:t>
      </w:r>
    </w:p>
    <w:p>
      <w:pPr>
        <w:pStyle w:val="TextBody"/>
        <w:bidi w:val="0"/>
        <w:spacing w:before="240" w:after="0"/>
        <w:jc w:val="left"/>
        <w:rPr>
          <w:rFonts w:ascii="Times New Roman" w:hAnsi="Times New Roman"/>
          <w:sz w:val="20"/>
        </w:rPr>
      </w:pPr>
      <w:r>
        <w:rPr>
          <w:rFonts w:ascii="Times New Roman" w:hAnsi="Times New Roman"/>
          <w:b/>
          <w:sz w:val="20"/>
        </w:rPr>
        <w:t>21.26.</w:t>
      </w:r>
      <w:r>
        <w:rPr>
          <w:rFonts w:ascii="Times New Roman" w:hAnsi="Times New Roman"/>
          <w:sz w:val="20"/>
        </w:rPr>
        <w:t xml:space="preserve"> “</w:t>
      </w:r>
      <w:r>
        <w:rPr>
          <w:rFonts w:ascii="Times New Roman" w:hAnsi="Times New Roman"/>
          <w:b/>
          <w:i/>
          <w:sz w:val="20"/>
        </w:rPr>
        <w:t>Performance Period</w:t>
      </w:r>
      <w:r>
        <w:rPr>
          <w:rFonts w:ascii="Times New Roman" w:hAnsi="Times New Roman"/>
          <w:sz w:val="20"/>
        </w:rPr>
        <w:t xml:space="preserve">” means one or more periods of time, which may be of varying and overlapping durations, as the Committee may select, over which the attainment of one or more Performance Factors will be measured for the purpose of determining a Participant’s right to, and the payment of, a Performance Award. </w:t>
      </w:r>
    </w:p>
    <w:p>
      <w:pPr>
        <w:pStyle w:val="TextBody"/>
        <w:bidi w:val="0"/>
        <w:spacing w:before="240" w:after="0"/>
        <w:jc w:val="left"/>
        <w:rPr>
          <w:rFonts w:ascii="Times New Roman" w:hAnsi="Times New Roman"/>
          <w:sz w:val="20"/>
        </w:rPr>
      </w:pPr>
      <w:r>
        <w:rPr>
          <w:rFonts w:ascii="Times New Roman" w:hAnsi="Times New Roman"/>
          <w:b/>
          <w:sz w:val="20"/>
        </w:rPr>
        <w:t>21.27.</w:t>
      </w:r>
      <w:r>
        <w:rPr>
          <w:rFonts w:ascii="Times New Roman" w:hAnsi="Times New Roman"/>
          <w:sz w:val="20"/>
        </w:rPr>
        <w:t xml:space="preserve"> “</w:t>
      </w:r>
      <w:r>
        <w:rPr>
          <w:rFonts w:ascii="Times New Roman" w:hAnsi="Times New Roman"/>
          <w:b/>
          <w:i/>
          <w:sz w:val="20"/>
        </w:rPr>
        <w:t>Permitted Transferee</w:t>
      </w:r>
      <w:r>
        <w:rPr>
          <w:rFonts w:ascii="Times New Roman" w:hAnsi="Times New Roman"/>
          <w:sz w:val="20"/>
        </w:rPr>
        <w:t xml:space="preserve">” means any child, stepchild, grandchild, parent, stepparent, grandparent, spouse, former spouse, sibling, niece, 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 </w:t>
      </w:r>
    </w:p>
    <w:p>
      <w:pPr>
        <w:pStyle w:val="TextBody"/>
        <w:bidi w:val="0"/>
        <w:spacing w:before="240" w:after="0"/>
        <w:jc w:val="left"/>
        <w:rPr>
          <w:rFonts w:ascii="Times New Roman" w:hAnsi="Times New Roman"/>
          <w:sz w:val="20"/>
        </w:rPr>
      </w:pPr>
      <w:r>
        <w:rPr>
          <w:rFonts w:ascii="Times New Roman" w:hAnsi="Times New Roman"/>
          <w:b/>
          <w:sz w:val="20"/>
        </w:rPr>
        <w:t>21.28.</w:t>
      </w:r>
      <w:r>
        <w:rPr>
          <w:rFonts w:ascii="Times New Roman" w:hAnsi="Times New Roman"/>
          <w:sz w:val="20"/>
        </w:rPr>
        <w:t xml:space="preserve"> “</w:t>
      </w:r>
      <w:r>
        <w:rPr>
          <w:rFonts w:ascii="Times New Roman" w:hAnsi="Times New Roman"/>
          <w:b/>
          <w:i/>
          <w:sz w:val="20"/>
        </w:rPr>
        <w:t>Plan</w:t>
      </w:r>
      <w:r>
        <w:rPr>
          <w:rFonts w:ascii="Times New Roman" w:hAnsi="Times New Roman"/>
          <w:sz w:val="20"/>
        </w:rPr>
        <w:t xml:space="preserve">” means this Stoke Therapeutics, Inc. 2023 Inducement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21.29.</w:t>
      </w:r>
      <w:r>
        <w:rPr>
          <w:rFonts w:ascii="Times New Roman" w:hAnsi="Times New Roman"/>
          <w:sz w:val="20"/>
        </w:rPr>
        <w:t xml:space="preserve"> “</w:t>
      </w:r>
      <w:r>
        <w:rPr>
          <w:rFonts w:ascii="Times New Roman" w:hAnsi="Times New Roman"/>
          <w:b/>
          <w:i/>
          <w:sz w:val="20"/>
        </w:rPr>
        <w:t>Restricted Stock Unit</w:t>
      </w:r>
      <w:r>
        <w:rPr>
          <w:rFonts w:ascii="Times New Roman" w:hAnsi="Times New Roman"/>
          <w:sz w:val="20"/>
        </w:rPr>
        <w:t xml:space="preserve">” means an Award as defined in Section 6 and granted under the Plan. </w:t>
      </w:r>
    </w:p>
    <w:p>
      <w:pPr>
        <w:pStyle w:val="TextBody"/>
        <w:bidi w:val="0"/>
        <w:spacing w:before="240" w:after="0"/>
        <w:jc w:val="left"/>
        <w:rPr>
          <w:rFonts w:ascii="Times New Roman" w:hAnsi="Times New Roman"/>
          <w:sz w:val="20"/>
        </w:rPr>
      </w:pPr>
      <w:r>
        <w:rPr>
          <w:rFonts w:ascii="Times New Roman" w:hAnsi="Times New Roman"/>
          <w:b/>
          <w:sz w:val="20"/>
        </w:rPr>
        <w:t>21.30.</w:t>
      </w:r>
      <w:r>
        <w:rPr>
          <w:rFonts w:ascii="Times New Roman" w:hAnsi="Times New Roman"/>
          <w:sz w:val="20"/>
        </w:rPr>
        <w:t xml:space="preserve"> “</w:t>
      </w:r>
      <w:r>
        <w:rPr>
          <w:rFonts w:ascii="Times New Roman" w:hAnsi="Times New Roman"/>
          <w:b/>
          <w:i/>
          <w:sz w:val="20"/>
        </w:rPr>
        <w:t>SEC</w:t>
      </w:r>
      <w:r>
        <w:rPr>
          <w:rFonts w:ascii="Times New Roman" w:hAnsi="Times New Roman"/>
          <w:sz w:val="20"/>
        </w:rPr>
        <w:t xml:space="preserve">” means the United States Securities and Exchange Commission. </w:t>
      </w:r>
    </w:p>
    <w:p>
      <w:pPr>
        <w:pStyle w:val="TextBody"/>
        <w:bidi w:val="0"/>
        <w:spacing w:before="240" w:after="0"/>
        <w:jc w:val="left"/>
        <w:rPr>
          <w:rFonts w:ascii="Times New Roman" w:hAnsi="Times New Roman"/>
          <w:sz w:val="20"/>
        </w:rPr>
      </w:pPr>
      <w:r>
        <w:rPr>
          <w:rFonts w:ascii="Times New Roman" w:hAnsi="Times New Roman"/>
          <w:b/>
          <w:sz w:val="20"/>
        </w:rPr>
        <w:t>21.31.</w:t>
      </w:r>
      <w:r>
        <w:rPr>
          <w:rFonts w:ascii="Times New Roman" w:hAnsi="Times New Roman"/>
          <w:sz w:val="20"/>
        </w:rPr>
        <w:t xml:space="preserve"> “</w:t>
      </w:r>
      <w:r>
        <w:rPr>
          <w:rFonts w:ascii="Times New Roman" w:hAnsi="Times New Roman"/>
          <w:b/>
          <w:i/>
          <w:sz w:val="20"/>
        </w:rPr>
        <w:t>Securities Act</w:t>
      </w:r>
      <w:r>
        <w:rPr>
          <w:rFonts w:ascii="Times New Roman" w:hAnsi="Times New Roman"/>
          <w:sz w:val="20"/>
        </w:rPr>
        <w:t xml:space="preserve">” means the United States Securities Act of 1933, as amended. </w:t>
      </w:r>
    </w:p>
    <w:p>
      <w:pPr>
        <w:pStyle w:val="TextBody"/>
        <w:bidi w:val="0"/>
        <w:spacing w:before="240" w:after="0"/>
        <w:jc w:val="left"/>
        <w:rPr>
          <w:rFonts w:ascii="Times New Roman" w:hAnsi="Times New Roman"/>
          <w:sz w:val="20"/>
        </w:rPr>
      </w:pPr>
      <w:r>
        <w:rPr>
          <w:rFonts w:ascii="Times New Roman" w:hAnsi="Times New Roman"/>
          <w:b/>
          <w:sz w:val="20"/>
        </w:rPr>
        <w:t>21.32.</w:t>
      </w:r>
      <w:r>
        <w:rPr>
          <w:rFonts w:ascii="Times New Roman" w:hAnsi="Times New Roman"/>
          <w:sz w:val="20"/>
        </w:rPr>
        <w:t xml:space="preserve"> “</w:t>
      </w:r>
      <w:r>
        <w:rPr>
          <w:rFonts w:ascii="Times New Roman" w:hAnsi="Times New Roman"/>
          <w:b/>
          <w:i/>
          <w:sz w:val="20"/>
        </w:rPr>
        <w:t>Service</w:t>
      </w:r>
      <w:r>
        <w:rPr>
          <w:rFonts w:ascii="Times New Roman" w:hAnsi="Times New Roman"/>
          <w:sz w:val="20"/>
        </w:rPr>
        <w:t xml:space="preserve">” will mean service as an Employee to the Company or a Parent, Subsidiary, or Affiliate, subject to such further limitations as may be set forth in the Plan or the applicable Award Agreement. An Employee will not be deemed to have ceased to provide Service in the case of any leave of absence approved by the Company. In the case of (a) sick leave, (b) military leave, or (c) any other leave of absence approved by the Company, provided that such leave is for a period of not more than ninety (90) days unless reemployment upon the expiration of such leave is guaranteed by contract or statute. Notwithstanding anything to the contrary, an Employee will not be deemed to have ceased to provide Service if a formal policy adopted from time to time by the Company and issued and promulgated to employees in writing provides otherwise. In the case of any Employee on an approved leave of absence or a reduction in hours worked (for illustrative purposes only, a change in schedule from that of full-time to part-time), the Committee may make such provisions respecting suspension of or modification to vesting of the Award 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 military or other protected leave, if required by applicable laws, vesting will continue for the longest period that vesting continues under any other statutory or Company approved leave of absence and, upon a Participant’s returning from military leave, he or she will be given vesting credit with respect to Awards to the same extent as would have applied had the Participant continued to provide Service to the Company throughout the leave on the same terms as he or she was providing Service immediately prior to such leave. An Employee will have terminated employment as of the date he or she ceases to provide Service (regardless of whether the termination is in breach of local employment laws or is later found to be invalid) and employment will not be extended by any notice period or garden leave mandated by local law, </w:t>
      </w:r>
      <w:r>
        <w:rPr>
          <w:rFonts w:ascii="Times New Roman" w:hAnsi="Times New Roman"/>
          <w:sz w:val="20"/>
          <w:u w:val="single"/>
        </w:rPr>
        <w:t>provided, however</w:t>
      </w:r>
      <w:r>
        <w:rPr>
          <w:rFonts w:ascii="Times New Roman" w:hAnsi="Times New Roman"/>
          <w:sz w:val="20"/>
        </w:rPr>
        <w:t xml:space="preserve">, that a change in status from an Employee to a Consultant will not terminate the Participant’s Service, unless determined by the Committee, in its discretion. The Committee will have sole discretion to determine whether a Participant has ceased to provide Service and the effective date on which the Participant ceased to provide Service. </w:t>
      </w:r>
    </w:p>
    <w:p>
      <w:pPr>
        <w:pStyle w:val="TextBody"/>
        <w:bidi w:val="0"/>
        <w:spacing w:before="240" w:after="0"/>
        <w:jc w:val="left"/>
        <w:rPr>
          <w:rFonts w:ascii="Times New Roman" w:hAnsi="Times New Roman"/>
          <w:sz w:val="20"/>
        </w:rPr>
      </w:pPr>
      <w:r>
        <w:rPr>
          <w:rFonts w:ascii="Times New Roman" w:hAnsi="Times New Roman"/>
          <w:b/>
          <w:sz w:val="20"/>
        </w:rPr>
        <w:t>21.33.</w:t>
      </w:r>
      <w:r>
        <w:rPr>
          <w:rFonts w:ascii="Times New Roman" w:hAnsi="Times New Roman"/>
          <w:sz w:val="20"/>
        </w:rPr>
        <w:t xml:space="preserve"> “</w:t>
      </w:r>
      <w:r>
        <w:rPr>
          <w:rFonts w:ascii="Times New Roman" w:hAnsi="Times New Roman"/>
          <w:b/>
          <w:i/>
          <w:sz w:val="20"/>
        </w:rPr>
        <w:t>Shares</w:t>
      </w:r>
      <w:r>
        <w:rPr>
          <w:rFonts w:ascii="Times New Roman" w:hAnsi="Times New Roman"/>
          <w:sz w:val="20"/>
        </w:rPr>
        <w:t xml:space="preserve">” means shares of the Common Stock and the common stock of any successor entity of the Company. </w:t>
      </w:r>
    </w:p>
    <w:p>
      <w:pPr>
        <w:pStyle w:val="TextBody"/>
        <w:bidi w:val="0"/>
        <w:spacing w:before="240" w:after="0"/>
        <w:jc w:val="left"/>
        <w:rPr>
          <w:rFonts w:ascii="Times New Roman" w:hAnsi="Times New Roman"/>
          <w:sz w:val="20"/>
        </w:rPr>
      </w:pPr>
      <w:r>
        <w:rPr>
          <w:rFonts w:ascii="Times New Roman" w:hAnsi="Times New Roman"/>
          <w:b/>
          <w:sz w:val="20"/>
        </w:rPr>
        <w:t>21.34.</w:t>
      </w:r>
      <w:r>
        <w:rPr>
          <w:rFonts w:ascii="Times New Roman" w:hAnsi="Times New Roman"/>
          <w:sz w:val="20"/>
        </w:rPr>
        <w:t xml:space="preserve"> “</w:t>
      </w:r>
      <w:r>
        <w:rPr>
          <w:rFonts w:ascii="Times New Roman" w:hAnsi="Times New Roman"/>
          <w:b/>
          <w:i/>
          <w:sz w:val="20"/>
        </w:rPr>
        <w:t>Subsidiary</w:t>
      </w:r>
      <w:r>
        <w:rPr>
          <w:rFonts w:ascii="Times New Roman" w:hAnsi="Times New Roman"/>
          <w:sz w:val="20"/>
        </w:rPr>
        <w:t xml:space="preserve">”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w:t>
      </w:r>
    </w:p>
    <w:p>
      <w:pPr>
        <w:pStyle w:val="TextBody"/>
        <w:bidi w:val="0"/>
        <w:spacing w:before="240" w:after="0"/>
        <w:jc w:val="left"/>
        <w:rPr>
          <w:rFonts w:ascii="Times New Roman" w:hAnsi="Times New Roman"/>
          <w:sz w:val="20"/>
        </w:rPr>
      </w:pPr>
      <w:r>
        <w:rPr>
          <w:rFonts w:ascii="Times New Roman" w:hAnsi="Times New Roman"/>
          <w:b/>
          <w:sz w:val="20"/>
        </w:rPr>
        <w:t>21.35.</w:t>
      </w:r>
      <w:r>
        <w:rPr>
          <w:rFonts w:ascii="Times New Roman" w:hAnsi="Times New Roman"/>
          <w:sz w:val="20"/>
        </w:rPr>
        <w:t xml:space="preserve"> “</w:t>
      </w:r>
      <w:r>
        <w:rPr>
          <w:rFonts w:ascii="Times New Roman" w:hAnsi="Times New Roman"/>
          <w:b/>
          <w:i/>
          <w:sz w:val="20"/>
        </w:rPr>
        <w:t>Treasury Regulations</w:t>
      </w:r>
      <w:r>
        <w:rPr>
          <w:rFonts w:ascii="Times New Roman" w:hAnsi="Times New Roman"/>
          <w:sz w:val="20"/>
        </w:rPr>
        <w:t xml:space="preserve">” means regulations promulgated by the United States Treasury Department. </w:t>
      </w:r>
    </w:p>
    <w:p>
      <w:pPr>
        <w:pStyle w:val="TextBody"/>
        <w:bidi w:val="0"/>
        <w:spacing w:before="240" w:after="0"/>
        <w:jc w:val="left"/>
        <w:rPr>
          <w:rFonts w:ascii="Times New Roman" w:hAnsi="Times New Roman"/>
          <w:sz w:val="20"/>
        </w:rPr>
      </w:pPr>
      <w:r>
        <w:rPr>
          <w:rFonts w:ascii="Times New Roman" w:hAnsi="Times New Roman"/>
          <w:b/>
          <w:sz w:val="20"/>
        </w:rPr>
        <w:t>21.36.</w:t>
      </w:r>
      <w:r>
        <w:rPr>
          <w:rFonts w:ascii="Times New Roman" w:hAnsi="Times New Roman"/>
          <w:sz w:val="20"/>
        </w:rPr>
        <w:t xml:space="preserve"> “</w:t>
      </w:r>
      <w:r>
        <w:rPr>
          <w:rFonts w:ascii="Times New Roman" w:hAnsi="Times New Roman"/>
          <w:b/>
          <w:i/>
          <w:sz w:val="20"/>
        </w:rPr>
        <w:t>Unvested Shares</w:t>
      </w:r>
      <w:r>
        <w:rPr>
          <w:rFonts w:ascii="Times New Roman" w:hAnsi="Times New Roman"/>
          <w:sz w:val="20"/>
        </w:rPr>
        <w:t xml:space="preserve">” means Shares that have not yet vested or are subject to a right of repurchase in favor of the Company (or any successor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STOKE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2023 INDUCEMENT PLAN </w:t>
      </w:r>
    </w:p>
    <w:p>
      <w:pPr>
        <w:pStyle w:val="TextBody"/>
        <w:bidi w:val="0"/>
        <w:spacing w:before="0" w:after="0"/>
        <w:jc w:val="center"/>
        <w:rPr>
          <w:rFonts w:ascii="Times New Roman" w:hAnsi="Times New Roman"/>
          <w:b/>
          <w:sz w:val="20"/>
        </w:rPr>
      </w:pPr>
      <w:r>
        <w:rPr>
          <w:rFonts w:ascii="Times New Roman" w:hAnsi="Times New Roman"/>
          <w:b/>
          <w:sz w:val="20"/>
        </w:rPr>
        <w:t xml:space="preserve">NOTICE OF RESTRICTED STOCK UNIT AWARD </w:t>
      </w:r>
    </w:p>
    <w:p>
      <w:pPr>
        <w:pStyle w:val="TextBody"/>
        <w:bidi w:val="0"/>
        <w:spacing w:before="240" w:after="0"/>
        <w:jc w:val="left"/>
        <w:rPr>
          <w:rFonts w:ascii="Times New Roman" w:hAnsi="Times New Roman"/>
          <w:sz w:val="20"/>
        </w:rPr>
      </w:pPr>
      <w:r>
        <w:rPr>
          <w:rFonts w:ascii="Times New Roman" w:hAnsi="Times New Roman"/>
          <w:sz w:val="20"/>
        </w:rPr>
        <w:t>Unless otherwise defined herein, the terms defined in the Stoke Therapeutics, Inc. (the “</w:t>
      </w:r>
      <w:r>
        <w:rPr>
          <w:rFonts w:ascii="Times New Roman" w:hAnsi="Times New Roman"/>
          <w:b/>
          <w:i/>
          <w:sz w:val="20"/>
        </w:rPr>
        <w:t>Company</w:t>
      </w:r>
      <w:r>
        <w:rPr>
          <w:rFonts w:ascii="Times New Roman" w:hAnsi="Times New Roman"/>
          <w:sz w:val="20"/>
        </w:rPr>
        <w:t>”) 2023 Inducement Plan (the “</w:t>
      </w:r>
      <w:r>
        <w:rPr>
          <w:rFonts w:ascii="Times New Roman" w:hAnsi="Times New Roman"/>
          <w:b/>
          <w:i/>
          <w:sz w:val="20"/>
        </w:rPr>
        <w:t>Plan</w:t>
      </w:r>
      <w:r>
        <w:rPr>
          <w:rFonts w:ascii="Times New Roman" w:hAnsi="Times New Roman"/>
          <w:sz w:val="20"/>
        </w:rPr>
        <w:t>”) will have the same meanings in this Notice of Restricted Stock Unit Award and the electronic representation of this Notice of Restricted Stock Unit Award established and maintained by the Company or a third party designated by the Company (this “</w:t>
      </w:r>
      <w:r>
        <w:rPr>
          <w:rFonts w:ascii="Times New Roman" w:hAnsi="Times New Roman"/>
          <w:b/>
          <w:i/>
          <w:sz w:val="20"/>
        </w:rPr>
        <w:t>Notice</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Name: </w:t>
      </w:r>
    </w:p>
    <w:p>
      <w:pPr>
        <w:pStyle w:val="TextBody"/>
        <w:bidi w:val="0"/>
        <w:spacing w:before="120" w:after="0"/>
        <w:jc w:val="left"/>
        <w:rPr>
          <w:rFonts w:ascii="Times New Roman" w:hAnsi="Times New Roman"/>
          <w:b/>
          <w:sz w:val="20"/>
        </w:rPr>
      </w:pPr>
      <w:r>
        <w:rPr>
          <w:rFonts w:ascii="Times New Roman" w:hAnsi="Times New Roman"/>
          <w:b/>
          <w:sz w:val="20"/>
        </w:rPr>
        <w:t xml:space="preserve">Address: </w:t>
      </w:r>
    </w:p>
    <w:p>
      <w:pPr>
        <w:pStyle w:val="TextBody"/>
        <w:bidi w:val="0"/>
        <w:spacing w:before="240" w:after="0"/>
        <w:jc w:val="left"/>
        <w:rPr>
          <w:rFonts w:ascii="Times New Roman" w:hAnsi="Times New Roman"/>
          <w:sz w:val="20"/>
        </w:rPr>
      </w:pPr>
      <w:r>
        <w:rPr>
          <w:rFonts w:ascii="Times New Roman" w:hAnsi="Times New Roman"/>
          <w:sz w:val="20"/>
        </w:rPr>
        <w:t>You (the “</w:t>
      </w:r>
      <w:r>
        <w:rPr>
          <w:rFonts w:ascii="Times New Roman" w:hAnsi="Times New Roman"/>
          <w:b/>
          <w:i/>
          <w:sz w:val="20"/>
        </w:rPr>
        <w:t>Participant</w:t>
      </w:r>
      <w:r>
        <w:rPr>
          <w:rFonts w:ascii="Times New Roman" w:hAnsi="Times New Roman"/>
          <w:sz w:val="20"/>
        </w:rPr>
        <w:t>”) have been granted an award of Restricted Stock Units (“</w:t>
      </w:r>
      <w:r>
        <w:rPr>
          <w:rFonts w:ascii="Times New Roman" w:hAnsi="Times New Roman"/>
          <w:b/>
          <w:i/>
          <w:sz w:val="20"/>
        </w:rPr>
        <w:t>RSUs</w:t>
      </w:r>
      <w:r>
        <w:rPr>
          <w:rFonts w:ascii="Times New Roman" w:hAnsi="Times New Roman"/>
          <w:sz w:val="20"/>
        </w:rPr>
        <w:t>”) under the Plan subject to the terms and conditions of the Plan, this Notice and the attached Restricted Stock Unit Award Agreement (the “</w:t>
      </w:r>
      <w:r>
        <w:rPr>
          <w:rFonts w:ascii="Times New Roman" w:hAnsi="Times New Roman"/>
          <w:b/>
          <w:i/>
          <w:sz w:val="20"/>
        </w:rPr>
        <w:t>Agreement</w:t>
      </w:r>
      <w:r>
        <w:rPr>
          <w:rFonts w:ascii="Times New Roman" w:hAnsi="Times New Roman"/>
          <w:sz w:val="20"/>
        </w:rPr>
        <w:t>”), including any applicable country-specific provisions in any appendix attached hereto (the “</w:t>
      </w:r>
      <w:r>
        <w:rPr>
          <w:rFonts w:ascii="Times New Roman" w:hAnsi="Times New Roman"/>
          <w:b/>
          <w:i/>
          <w:sz w:val="20"/>
        </w:rPr>
        <w:t>Appendix</w:t>
      </w:r>
      <w:r>
        <w:rPr>
          <w:rFonts w:ascii="Times New Roman" w:hAnsi="Times New Roman"/>
          <w:sz w:val="20"/>
        </w:rPr>
        <w:t xml:space="preserve">”), which constitutes part of the Agreement. </w:t>
      </w:r>
    </w:p>
    <w:p>
      <w:pPr>
        <w:pStyle w:val="TextBody"/>
        <w:bidi w:val="0"/>
        <w:spacing w:before="240" w:after="0"/>
        <w:jc w:val="left"/>
        <w:rPr>
          <w:rFonts w:ascii="Times New Roman" w:hAnsi="Times New Roman"/>
          <w:sz w:val="20"/>
        </w:rPr>
      </w:pPr>
      <w:r>
        <w:rPr>
          <w:rFonts w:ascii="Times New Roman" w:hAnsi="Times New Roman"/>
          <w:b/>
          <w:sz w:val="20"/>
        </w:rPr>
        <w:t>Grant Number</w:t>
      </w: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Number of RSUs: </w:t>
      </w:r>
    </w:p>
    <w:p>
      <w:pPr>
        <w:pStyle w:val="TextBody"/>
        <w:bidi w:val="0"/>
        <w:spacing w:before="120" w:after="0"/>
        <w:jc w:val="left"/>
        <w:rPr>
          <w:rFonts w:ascii="Times New Roman" w:hAnsi="Times New Roman"/>
          <w:b/>
          <w:sz w:val="20"/>
        </w:rPr>
      </w:pPr>
      <w:r>
        <w:rPr>
          <w:rFonts w:ascii="Times New Roman" w:hAnsi="Times New Roman"/>
          <w:b/>
          <w:sz w:val="20"/>
        </w:rPr>
        <w:t xml:space="preserve">Date of Grant: </w:t>
      </w:r>
    </w:p>
    <w:p>
      <w:pPr>
        <w:pStyle w:val="TextBody"/>
        <w:bidi w:val="0"/>
        <w:spacing w:before="120" w:after="0"/>
        <w:jc w:val="left"/>
        <w:rPr>
          <w:rFonts w:ascii="Times New Roman" w:hAnsi="Times New Roman"/>
          <w:b/>
          <w:sz w:val="20"/>
        </w:rPr>
      </w:pPr>
      <w:r>
        <w:rPr>
          <w:rFonts w:ascii="Times New Roman" w:hAnsi="Times New Roman"/>
          <w:b/>
          <w:sz w:val="20"/>
        </w:rPr>
        <w:t xml:space="preserve">Vesting Commencement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7"/>
        <w:gridCol w:w="123"/>
        <w:gridCol w:w="7735"/>
      </w:tblGrid>
      <w:tr>
        <w:trPr/>
        <w:tc>
          <w:tcPr>
            <w:tcW w:w="23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735" w:type="dxa"/>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0"/>
              <w:jc w:val="left"/>
              <w:rPr>
                <w:rFonts w:ascii="Times New Roman" w:hAnsi="Times New Roman"/>
                <w:b/>
                <w:sz w:val="20"/>
              </w:rPr>
            </w:pPr>
            <w:r>
              <w:rPr>
                <w:rFonts w:ascii="Times New Roman" w:hAnsi="Times New Roman"/>
                <w:b/>
                <w:sz w:val="20"/>
              </w:rPr>
              <w:t>Expiration Date:</w:t>
            </w:r>
          </w:p>
        </w:tc>
        <w:tc>
          <w:tcPr>
            <w:tcW w:w="123"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283"/>
              <w:jc w:val="left"/>
              <w:rPr/>
            </w:pPr>
            <w:r>
              <w:rPr/>
              <w:t>The earlier to occur of: (a) the date on which settlement of all RSUs granted hereunder occurs, and (b) the tenth anniversary of the Date of Grant. This RSU expires earlier if Participant’s Service terminates earlier, as described in the Agreement.</w:t>
            </w:r>
          </w:p>
        </w:tc>
      </w:tr>
      <w:tr>
        <w:trPr>
          <w:trHeight w:val="120" w:hRule="atLeast"/>
        </w:trPr>
        <w:tc>
          <w:tcPr>
            <w:tcW w:w="2347" w:type="dxa"/>
            <w:tcBorders/>
            <w:vAlign w:val="center"/>
          </w:tcPr>
          <w:p>
            <w:pPr>
              <w:pStyle w:val="TableContents"/>
              <w:bidi w:val="0"/>
              <w:spacing w:before="0" w:after="283"/>
              <w:jc w:val="left"/>
              <w:rPr>
                <w:sz w:val="4"/>
                <w:szCs w:val="4"/>
              </w:rPr>
            </w:pPr>
            <w:r>
              <w:rPr>
                <w:sz w:val="4"/>
                <w:szCs w:val="4"/>
              </w:rPr>
            </w:r>
          </w:p>
        </w:tc>
        <w:tc>
          <w:tcPr>
            <w:tcW w:w="7858" w:type="dxa"/>
            <w:gridSpan w:val="2"/>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0"/>
              <w:jc w:val="left"/>
              <w:rPr>
                <w:rFonts w:ascii="Times New Roman" w:hAnsi="Times New Roman"/>
                <w:b/>
                <w:sz w:val="20"/>
              </w:rPr>
            </w:pPr>
            <w:r>
              <w:rPr>
                <w:rFonts w:ascii="Times New Roman" w:hAnsi="Times New Roman"/>
                <w:b/>
                <w:sz w:val="20"/>
              </w:rPr>
              <w:t>Vesting Schedule:</w:t>
            </w:r>
          </w:p>
        </w:tc>
        <w:tc>
          <w:tcPr>
            <w:tcW w:w="123" w:type="dxa"/>
            <w:tcBorders/>
            <w:vAlign w:val="bottom"/>
          </w:tcPr>
          <w:p>
            <w:pPr>
              <w:pStyle w:val="TableContents"/>
              <w:bidi w:val="0"/>
              <w:spacing w:before="0" w:after="283"/>
              <w:jc w:val="left"/>
              <w:rPr/>
            </w:pPr>
            <w:r>
              <w:rPr/>
              <w:t>  </w:t>
            </w:r>
          </w:p>
        </w:tc>
        <w:tc>
          <w:tcPr>
            <w:tcW w:w="7735" w:type="dxa"/>
            <w:tcBorders/>
          </w:tcPr>
          <w:p>
            <w:pPr>
              <w:pStyle w:val="TableContents"/>
              <w:bidi w:val="0"/>
              <w:spacing w:before="0" w:after="283"/>
              <w:jc w:val="left"/>
              <w:rPr/>
            </w:pPr>
            <w:r>
              <w:rPr/>
              <w:t>Subject to the limitations set forth in this Notice, the Plan, and the Agreement, the RSUs will vest in accordance with the following schedule: [</w:t>
            </w:r>
            <w:r>
              <w:rPr>
                <w:i/>
              </w:rPr>
              <w:t>insert applicable vesting schedule</w:t>
            </w: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accepting (whether in writing, electronically or otherwise) the RSUs, Participant acknowledges and agrees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Participant understands that Participant’s Service with the Company or a Parent, Subsidiary, or Affiliate is for an unspecified duration, can be terminated at any time (</w:t>
            </w:r>
            <w:r>
              <w:rPr>
                <w:rFonts w:ascii="Times New Roman" w:hAnsi="Times New Roman"/>
                <w:i/>
                <w:sz w:val="20"/>
              </w:rPr>
              <w:t>i.e.</w:t>
            </w:r>
            <w:r>
              <w:rPr>
                <w:rFonts w:ascii="Times New Roman" w:hAnsi="Times New Roman"/>
                <w:sz w:val="20"/>
              </w:rPr>
              <w:t xml:space="preserve">, is “at-will”), except where otherwise prohibited by applicable law, and that nothing in this Notice, the Agreement, or the Plan changes the nature of that relationship. Participant acknowledges that the vesting of the RSUs pursuant to this Notice is subject to Participant’s continuing Service. Participant agrees and acknowledges that the Vesting Schedule may change prospectively in the event that Participant’s Service status changes between full- and part-time and/or in the event the Participant is on a leave of absence, in accordance with Company policies relating to work schedules and vesting of Awards or as determined by the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grant is made under and governed by the Plan, the Agreement, and this Notice, and this Notice is subject to the terms and conditions of the Agreement and the Plan, both of which are incorporated herein by reference. Participant has read the Notice, the Agreement, and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has read the Company’s Insider Trading Policy, and agrees to comply with such policy, as it may be amended from time to time, whenever Participant acquires or disposes of the Company’s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accepting the RSUs, Participant consents to electronic delivery and participation as set forth in the Agreement.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91"/>
        <w:gridCol w:w="207"/>
        <w:gridCol w:w="2697"/>
        <w:gridCol w:w="171"/>
        <w:gridCol w:w="491"/>
        <w:gridCol w:w="171"/>
        <w:gridCol w:w="1298"/>
        <w:gridCol w:w="498"/>
        <w:gridCol w:w="2781"/>
      </w:tblGrid>
      <w:tr>
        <w:trPr/>
        <w:tc>
          <w:tcPr>
            <w:tcW w:w="1891"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cPr>
          <w:p>
            <w:pPr>
              <w:pStyle w:val="TableContents"/>
              <w:bidi w:val="0"/>
              <w:spacing w:before="0" w:after="283"/>
              <w:jc w:val="left"/>
              <w:rPr>
                <w:b/>
              </w:rPr>
            </w:pPr>
            <w:r>
              <w:rPr>
                <w:b/>
              </w:rPr>
              <w:t>PARTICIPANT</w:t>
            </w:r>
          </w:p>
        </w:tc>
        <w:tc>
          <w:tcPr>
            <w:tcW w:w="171" w:type="dxa"/>
            <w:tcBorders/>
            <w:vAlign w:val="bottom"/>
          </w:tcPr>
          <w:p>
            <w:pPr>
              <w:pStyle w:val="TableContents"/>
              <w:bidi w:val="0"/>
              <w:spacing w:before="0" w:after="283"/>
              <w:jc w:val="left"/>
              <w:rPr/>
            </w:pPr>
            <w:r>
              <w:rPr/>
              <w:t>  </w:t>
            </w:r>
          </w:p>
        </w:tc>
        <w:tc>
          <w:tcPr>
            <w:tcW w:w="491" w:type="dxa"/>
            <w:tcBorders/>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4577" w:type="dxa"/>
            <w:gridSpan w:val="3"/>
            <w:tcBorders/>
          </w:tcPr>
          <w:p>
            <w:pPr>
              <w:pStyle w:val="TableContents"/>
              <w:bidi w:val="0"/>
              <w:spacing w:before="0" w:after="283"/>
              <w:jc w:val="left"/>
              <w:rPr>
                <w:b/>
              </w:rPr>
            </w:pPr>
            <w:r>
              <w:rPr>
                <w:b/>
              </w:rPr>
              <w:t>STOKE THERAPEUTICS, INC.</w:t>
            </w:r>
          </w:p>
        </w:tc>
      </w:tr>
      <w:tr>
        <w:trPr>
          <w:trHeight w:val="240" w:hRule="atLeast"/>
        </w:trPr>
        <w:tc>
          <w:tcPr>
            <w:tcW w:w="1891" w:type="dxa"/>
            <w:tcBorders/>
            <w:vAlign w:val="center"/>
          </w:tcPr>
          <w:p>
            <w:pPr>
              <w:pStyle w:val="TableContents"/>
              <w:bidi w:val="0"/>
              <w:spacing w:before="0" w:after="283"/>
              <w:jc w:val="left"/>
              <w:rPr>
                <w:sz w:val="4"/>
                <w:szCs w:val="4"/>
              </w:rPr>
            </w:pPr>
            <w:r>
              <w:rPr>
                <w:sz w:val="4"/>
                <w:szCs w:val="4"/>
              </w:rPr>
            </w:r>
          </w:p>
        </w:tc>
        <w:tc>
          <w:tcPr>
            <w:tcW w:w="2904" w:type="dxa"/>
            <w:gridSpan w:val="2"/>
            <w:tcBorders/>
            <w:vAlign w:val="center"/>
          </w:tcPr>
          <w:p>
            <w:pPr>
              <w:pStyle w:val="TableContents"/>
              <w:bidi w:val="0"/>
              <w:spacing w:before="0" w:after="283"/>
              <w:jc w:val="left"/>
              <w:rPr>
                <w:sz w:val="4"/>
                <w:szCs w:val="4"/>
              </w:rPr>
            </w:pPr>
            <w:r>
              <w:rPr>
                <w:sz w:val="4"/>
                <w:szCs w:val="4"/>
              </w:rPr>
            </w:r>
          </w:p>
        </w:tc>
        <w:tc>
          <w:tcPr>
            <w:tcW w:w="662" w:type="dxa"/>
            <w:gridSpan w:val="2"/>
            <w:tcBorders/>
            <w:vAlign w:val="center"/>
          </w:tcPr>
          <w:p>
            <w:pPr>
              <w:pStyle w:val="TableContents"/>
              <w:bidi w:val="0"/>
              <w:spacing w:before="0" w:after="283"/>
              <w:jc w:val="left"/>
              <w:rPr>
                <w:sz w:val="4"/>
                <w:szCs w:val="4"/>
              </w:rPr>
            </w:pPr>
            <w:r>
              <w:rPr>
                <w:sz w:val="4"/>
                <w:szCs w:val="4"/>
              </w:rPr>
            </w:r>
          </w:p>
        </w:tc>
        <w:tc>
          <w:tcPr>
            <w:tcW w:w="1469" w:type="dxa"/>
            <w:gridSpan w:val="2"/>
            <w:tcBorders/>
            <w:vAlign w:val="center"/>
          </w:tcPr>
          <w:p>
            <w:pPr>
              <w:pStyle w:val="TableContents"/>
              <w:bidi w:val="0"/>
              <w:spacing w:before="0" w:after="283"/>
              <w:jc w:val="left"/>
              <w:rPr>
                <w:sz w:val="4"/>
                <w:szCs w:val="4"/>
              </w:rPr>
            </w:pPr>
            <w:r>
              <w:rPr>
                <w:sz w:val="4"/>
                <w:szCs w:val="4"/>
              </w:rPr>
            </w:r>
          </w:p>
        </w:tc>
        <w:tc>
          <w:tcPr>
            <w:tcW w:w="3279" w:type="dxa"/>
            <w:gridSpan w:val="2"/>
            <w:tcBorders/>
            <w:vAlign w:val="center"/>
          </w:tcPr>
          <w:p>
            <w:pPr>
              <w:pStyle w:val="TableContents"/>
              <w:bidi w:val="0"/>
              <w:spacing w:before="0" w:after="283"/>
              <w:jc w:val="left"/>
              <w:rPr>
                <w:sz w:val="4"/>
                <w:szCs w:val="4"/>
              </w:rPr>
            </w:pPr>
            <w:r>
              <w:rPr>
                <w:sz w:val="4"/>
                <w:szCs w:val="4"/>
              </w:rPr>
            </w:r>
          </w:p>
        </w:tc>
      </w:tr>
      <w:tr>
        <w:trPr/>
        <w:tc>
          <w:tcPr>
            <w:tcW w:w="1891" w:type="dxa"/>
            <w:tcBorders/>
          </w:tcPr>
          <w:p>
            <w:pPr>
              <w:pStyle w:val="TableContents"/>
              <w:bidi w:val="0"/>
              <w:spacing w:before="0" w:after="283"/>
              <w:jc w:val="left"/>
              <w:rPr/>
            </w:pPr>
            <w:r>
              <w:rPr/>
              <w:t>Signature:</w:t>
            </w:r>
          </w:p>
        </w:tc>
        <w:tc>
          <w:tcPr>
            <w:tcW w:w="207" w:type="dxa"/>
            <w:tcBorders>
              <w:bottom w:val="single" w:sz="2" w:space="0" w:color="000000"/>
            </w:tcBorders>
            <w:tcMar>
              <w:bottom w:w="28" w:type="dxa"/>
            </w:tcMar>
            <w:vAlign w:val="bottom"/>
          </w:tcPr>
          <w:p>
            <w:pPr>
              <w:pStyle w:val="TableContents"/>
              <w:bidi w:val="0"/>
              <w:spacing w:before="0" w:after="283"/>
              <w:jc w:val="left"/>
              <w:rPr/>
            </w:pPr>
            <w:r>
              <w:rPr/>
              <w:t>  </w:t>
            </w:r>
          </w:p>
        </w:tc>
        <w:tc>
          <w:tcPr>
            <w:tcW w:w="2697" w:type="dxa"/>
            <w:tcBorders>
              <w:bottom w:val="single" w:sz="2" w:space="0" w:color="000000"/>
            </w:tcBorders>
            <w:tcMar>
              <w:bottom w:w="28" w:type="dxa"/>
            </w:tcMa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491" w:type="dxa"/>
            <w:tcBorders/>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298" w:type="dxa"/>
            <w:tcBorders/>
          </w:tcPr>
          <w:p>
            <w:pPr>
              <w:pStyle w:val="TableContents"/>
              <w:bidi w:val="0"/>
              <w:spacing w:before="0" w:after="283"/>
              <w:jc w:val="left"/>
              <w:rPr/>
            </w:pPr>
            <w:r>
              <w:rPr/>
              <w:t>By:</w:t>
            </w:r>
          </w:p>
        </w:tc>
        <w:tc>
          <w:tcPr>
            <w:tcW w:w="498" w:type="dxa"/>
            <w:tcBorders>
              <w:bottom w:val="single" w:sz="2" w:space="0" w:color="000000"/>
            </w:tcBorders>
            <w:tcMar>
              <w:bottom w:w="28" w:type="dxa"/>
            </w:tcMar>
            <w:vAlign w:val="bottom"/>
          </w:tcPr>
          <w:p>
            <w:pPr>
              <w:pStyle w:val="TableContents"/>
              <w:bidi w:val="0"/>
              <w:spacing w:before="0" w:after="283"/>
              <w:jc w:val="left"/>
              <w:rPr/>
            </w:pPr>
            <w:r>
              <w:rPr/>
              <w:t>  </w:t>
            </w:r>
          </w:p>
        </w:tc>
        <w:tc>
          <w:tcPr>
            <w:tcW w:w="2781" w:type="dxa"/>
            <w:tcBorders>
              <w:bottom w:val="single" w:sz="2" w:space="0" w:color="000000"/>
            </w:tcBorders>
            <w:tcMar>
              <w:bottom w:w="28" w:type="dxa"/>
            </w:tcMar>
          </w:tcPr>
          <w:p>
            <w:pPr>
              <w:pStyle w:val="TableContents"/>
              <w:bidi w:val="0"/>
              <w:spacing w:before="0" w:after="283"/>
              <w:jc w:val="left"/>
              <w:rPr/>
            </w:pPr>
            <w:r>
              <w:rPr/>
              <w:t> </w:t>
            </w:r>
          </w:p>
        </w:tc>
      </w:tr>
      <w:tr>
        <w:trPr/>
        <w:tc>
          <w:tcPr>
            <w:tcW w:w="1891" w:type="dxa"/>
            <w:tcBorders/>
          </w:tcPr>
          <w:p>
            <w:pPr>
              <w:pStyle w:val="TableContents"/>
              <w:bidi w:val="0"/>
              <w:spacing w:before="0" w:after="283"/>
              <w:jc w:val="left"/>
              <w:rPr/>
            </w:pPr>
            <w:r>
              <w:rPr/>
              <w:t>Print Name:</w:t>
            </w:r>
          </w:p>
        </w:tc>
        <w:tc>
          <w:tcPr>
            <w:tcW w:w="207" w:type="dxa"/>
            <w:tcBorders>
              <w:bottom w:val="single" w:sz="2" w:space="0" w:color="000000"/>
            </w:tcBorders>
            <w:tcMar>
              <w:bottom w:w="28" w:type="dxa"/>
            </w:tcMar>
            <w:vAlign w:val="bottom"/>
          </w:tcPr>
          <w:p>
            <w:pPr>
              <w:pStyle w:val="TableContents"/>
              <w:bidi w:val="0"/>
              <w:spacing w:before="0" w:after="283"/>
              <w:jc w:val="left"/>
              <w:rPr/>
            </w:pPr>
            <w:r>
              <w:rPr/>
              <w:t>  </w:t>
            </w:r>
          </w:p>
        </w:tc>
        <w:tc>
          <w:tcPr>
            <w:tcW w:w="2697" w:type="dxa"/>
            <w:tcBorders>
              <w:bottom w:val="single" w:sz="2" w:space="0" w:color="000000"/>
            </w:tcBorders>
            <w:tcMar>
              <w:bottom w:w="28" w:type="dxa"/>
            </w:tcMa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491" w:type="dxa"/>
            <w:tcBorders/>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298" w:type="dxa"/>
            <w:tcBorders/>
          </w:tcPr>
          <w:p>
            <w:pPr>
              <w:pStyle w:val="TableContents"/>
              <w:bidi w:val="0"/>
              <w:spacing w:before="0" w:after="283"/>
              <w:jc w:val="left"/>
              <w:rPr/>
            </w:pPr>
            <w:r>
              <w:rPr/>
              <w:t>Its:</w:t>
            </w:r>
          </w:p>
        </w:tc>
        <w:tc>
          <w:tcPr>
            <w:tcW w:w="498" w:type="dxa"/>
            <w:tcBorders>
              <w:bottom w:val="single" w:sz="2" w:space="0" w:color="000000"/>
            </w:tcBorders>
            <w:tcMar>
              <w:bottom w:w="28" w:type="dxa"/>
            </w:tcMar>
            <w:vAlign w:val="bottom"/>
          </w:tcPr>
          <w:p>
            <w:pPr>
              <w:pStyle w:val="TableContents"/>
              <w:bidi w:val="0"/>
              <w:spacing w:before="0" w:after="283"/>
              <w:jc w:val="left"/>
              <w:rPr/>
            </w:pPr>
            <w:r>
              <w:rPr/>
              <w:t>  </w:t>
            </w:r>
          </w:p>
        </w:tc>
        <w:tc>
          <w:tcPr>
            <w:tcW w:w="2781" w:type="dxa"/>
            <w:tcBorders>
              <w:bottom w:val="single" w:sz="2" w:space="0" w:color="000000"/>
            </w:tcBorders>
            <w:tcMar>
              <w:bottom w:w="28"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STOKE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2023 INDUCEMENT PLAN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UNIT AWARD AGREEMENT </w:t>
      </w:r>
    </w:p>
    <w:p>
      <w:pPr>
        <w:pStyle w:val="TextBody"/>
        <w:bidi w:val="0"/>
        <w:spacing w:before="240" w:after="0"/>
        <w:jc w:val="left"/>
        <w:rPr>
          <w:rFonts w:ascii="Times New Roman" w:hAnsi="Times New Roman"/>
          <w:sz w:val="20"/>
        </w:rPr>
      </w:pPr>
      <w:r>
        <w:rPr>
          <w:rFonts w:ascii="Times New Roman" w:hAnsi="Times New Roman"/>
          <w:sz w:val="20"/>
        </w:rPr>
        <w:t>Unless otherwise defined in this Restricted Stock Unit Award Agreement (this “</w:t>
      </w:r>
      <w:r>
        <w:rPr>
          <w:rFonts w:ascii="Times New Roman" w:hAnsi="Times New Roman"/>
          <w:b/>
          <w:i/>
          <w:sz w:val="20"/>
        </w:rPr>
        <w:t>Agreement</w:t>
      </w:r>
      <w:r>
        <w:rPr>
          <w:rFonts w:ascii="Times New Roman" w:hAnsi="Times New Roman"/>
          <w:sz w:val="20"/>
        </w:rPr>
        <w:t>”), any capitalized terms used herein will have the same meaning ascribed to them in the Stoke Therapeutics, Inc. 2023 Inducement Plan (the “</w:t>
      </w:r>
      <w:r>
        <w:rPr>
          <w:rFonts w:ascii="Times New Roman" w:hAnsi="Times New Roman"/>
          <w:b/>
          <w:i/>
          <w:sz w:val="20"/>
        </w:rPr>
        <w:t>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Participant has been granted Restricted Stock Units (“</w:t>
      </w:r>
      <w:r>
        <w:rPr>
          <w:rFonts w:ascii="Times New Roman" w:hAnsi="Times New Roman"/>
          <w:b/>
          <w:i/>
          <w:sz w:val="20"/>
        </w:rPr>
        <w:t>RSUs</w:t>
      </w:r>
      <w:r>
        <w:rPr>
          <w:rFonts w:ascii="Times New Roman" w:hAnsi="Times New Roman"/>
          <w:sz w:val="20"/>
        </w:rPr>
        <w:t>”) subject to the terms, restrictions, and conditions of the Plan, the Notice of Restricted Stock Unit Award (the “</w:t>
      </w:r>
      <w:r>
        <w:rPr>
          <w:rFonts w:ascii="Times New Roman" w:hAnsi="Times New Roman"/>
          <w:b/>
          <w:i/>
          <w:sz w:val="20"/>
        </w:rPr>
        <w:t>Notice</w:t>
      </w:r>
      <w:r>
        <w:rPr>
          <w:rFonts w:ascii="Times New Roman" w:hAnsi="Times New Roman"/>
          <w:sz w:val="20"/>
        </w:rPr>
        <w:t>”), and this Agreement, including any applicable country-specific provisions in any appendix attached hereto (the “</w:t>
      </w:r>
      <w:r>
        <w:rPr>
          <w:rFonts w:ascii="Times New Roman" w:hAnsi="Times New Roman"/>
          <w:b/>
          <w:i/>
          <w:sz w:val="20"/>
        </w:rPr>
        <w:t>Appendix</w:t>
      </w:r>
      <w:r>
        <w:rPr>
          <w:rFonts w:ascii="Times New Roman" w:hAnsi="Times New Roman"/>
          <w:sz w:val="20"/>
        </w:rPr>
        <w:t xml:space="preserve">”), which constitutes part of this Agreement. In the event of a conflict between the terms and conditions of the Plan and the terms and conditions of the Notice or this Agreement, the terms and conditions of the Plan will prevail.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Settlement</w:t>
      </w:r>
      <w:r>
        <w:rPr>
          <w:rFonts w:ascii="Times New Roman" w:hAnsi="Times New Roman"/>
          <w:b/>
          <w:sz w:val="20"/>
        </w:rPr>
        <w:t>.</w:t>
      </w:r>
      <w:r>
        <w:rPr>
          <w:rFonts w:ascii="Times New Roman" w:hAnsi="Times New Roman"/>
          <w:sz w:val="20"/>
        </w:rPr>
        <w:t xml:space="preserve"> Settlement of RSUs will be made within thirty (30) days following the applicable date of vesting under the Vesting Schedule set forth in the Notice. Settlement of RSUs will be in Shares. No fractional RSUs or rights for fractional Shares will be created pursuant to this Agreement.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No Stockholder Rights</w:t>
      </w:r>
      <w:r>
        <w:rPr>
          <w:rFonts w:ascii="Times New Roman" w:hAnsi="Times New Roman"/>
          <w:b/>
          <w:sz w:val="20"/>
        </w:rPr>
        <w:t>.</w:t>
      </w:r>
      <w:r>
        <w:rPr>
          <w:rFonts w:ascii="Times New Roman" w:hAnsi="Times New Roman"/>
          <w:sz w:val="20"/>
        </w:rPr>
        <w:t xml:space="preserve"> Unless and until such time as Shares are issued in settlement of vested RSUs, Participant will have no ownership of the Shares allocated to the RSUs and will have no rights to dividends or to vote such Shares.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Dividend Equivalents</w:t>
      </w:r>
      <w:r>
        <w:rPr>
          <w:rFonts w:ascii="Times New Roman" w:hAnsi="Times New Roman"/>
          <w:b/>
          <w:sz w:val="20"/>
        </w:rPr>
        <w:t>.</w:t>
      </w:r>
      <w:r>
        <w:rPr>
          <w:rFonts w:ascii="Times New Roman" w:hAnsi="Times New Roman"/>
          <w:sz w:val="20"/>
        </w:rPr>
        <w:t xml:space="preserve"> Dividends, if any (whether in cash or Shares), will not be credited to Participant.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Non-Transferability of RSUs</w:t>
      </w:r>
      <w:r>
        <w:rPr>
          <w:rFonts w:ascii="Times New Roman" w:hAnsi="Times New Roman"/>
          <w:b/>
          <w:sz w:val="20"/>
        </w:rPr>
        <w:t>.</w:t>
      </w:r>
      <w:r>
        <w:rPr>
          <w:rFonts w:ascii="Times New Roman" w:hAnsi="Times New Roman"/>
          <w:sz w:val="20"/>
        </w:rPr>
        <w:t xml:space="preserve"> The RSUs and any interest therein will not be sold, assigned, transferred, pledged, hypothecated, or otherwise disposed of in any manner other than by will or by the laws of descent or distribution or court order or unless otherwise permitted by the Committee on a case-by-case basis.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Termination; Leave of Absence; Change in Status</w:t>
      </w:r>
      <w:r>
        <w:rPr>
          <w:rFonts w:ascii="Times New Roman" w:hAnsi="Times New Roman"/>
          <w:b/>
          <w:sz w:val="20"/>
        </w:rPr>
        <w:t>.</w:t>
      </w:r>
      <w:r>
        <w:rPr>
          <w:rFonts w:ascii="Times New Roman" w:hAnsi="Times New Roman"/>
          <w:sz w:val="20"/>
        </w:rPr>
        <w:t xml:space="preserve"> If Participant’s Service terminates for any reason, all unvested RSUs will be forfeited to the Company immediately, and all rights of Participant to such RSUs automatically terminate without payment of any consideration to Participant. Participant’s Service will be considered terminated as of the date Participant is no longer providing services (regardless of the reason for such termination and whether or not later found to be invalid or in breach of employment laws in the jurisdiction where Participant is employed or the terms of Participant’s employment agreement, if any) and will not, subject to the laws applicable to Participant’s Award, be extended by any notice period mandated under local laws (e.g., Service would not include a period of “garden leave” or similar period). Participant acknowledges and agrees that the Vesting Schedule may change prospectively in the event Participant’s service status changes between full- and part-time status and/or in the event Participant is on an approved leave of absence in accordance the Company’s policies relating to work schedules and vesting of awards or as determined by the Committee. Participant acknowledges that the vesting of the Shares pursuant to this Notice and Agreement is subject to Participant’s continued Service. In case of any dispute as to whether termination of Service has occurred, the Committee will have sole discretion to determine whether such termination of Service has occurred and the effective date of such termination (including whether Participant may still be considered to be providing services while on an approved leave of absence). </w:t>
      </w:r>
    </w:p>
    <w:p>
      <w:pPr>
        <w:pStyle w:val="TextBody"/>
        <w:bidi w:val="0"/>
        <w:spacing w:before="240" w:after="0"/>
        <w:jc w:val="left"/>
        <w:rPr>
          <w:rFonts w:ascii="Times New Roman" w:hAnsi="Times New Roman"/>
          <w:b/>
          <w:sz w:val="20"/>
        </w:rPr>
      </w:pPr>
      <w:r>
        <w:rPr>
          <w:rFonts w:ascii="Times New Roman" w:hAnsi="Times New Roman"/>
          <w:b/>
          <w:sz w:val="20"/>
        </w:rPr>
        <w:t xml:space="preserve">6. </w:t>
      </w:r>
      <w:r>
        <w:rPr>
          <w:rFonts w:ascii="Times New Roman" w:hAnsi="Times New Roman"/>
          <w:b/>
          <w:sz w:val="20"/>
          <w:u w:val="single"/>
        </w:rPr>
        <w:t>Taxes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Responsibility for Taxes</w:t>
      </w:r>
      <w:r>
        <w:rPr>
          <w:rFonts w:ascii="Times New Roman" w:hAnsi="Times New Roman"/>
          <w:sz w:val="20"/>
        </w:rPr>
        <w:t>. Participant acknowledges that, regardless of any action taken by the Company or, if different, a Parent, Subsidiary or Affiliate employing or retaining Participant (the “</w:t>
      </w:r>
      <w:r>
        <w:rPr>
          <w:rFonts w:ascii="Times New Roman" w:hAnsi="Times New Roman"/>
          <w:b/>
          <w:i/>
          <w:sz w:val="20"/>
        </w:rPr>
        <w:t>Employer</w:t>
      </w:r>
      <w:r>
        <w:rPr>
          <w:rFonts w:ascii="Times New Roman" w:hAnsi="Times New Roman"/>
          <w:sz w:val="20"/>
        </w:rPr>
        <w:t>”), the ultimate liability for all income tax, social insurance, payroll tax, fringe benefits tax, payment on account or other tax-related items related to Participant’s participation in the Plan and legally applicable to Participant (“</w:t>
      </w:r>
      <w:r>
        <w:rPr>
          <w:rFonts w:ascii="Times New Roman" w:hAnsi="Times New Roman"/>
          <w:b/>
          <w:i/>
          <w:sz w:val="20"/>
        </w:rPr>
        <w:t>Tax-Related Items</w:t>
      </w:r>
      <w:r>
        <w:rPr>
          <w:rFonts w:ascii="Times New Roman" w:hAnsi="Times New Roman"/>
          <w:sz w:val="20"/>
        </w:rPr>
        <w:t xml:space="preserve">”)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RSUs, including, but not limited to, the grant, vesting or settlement of the RSUs and the subsequent sale of Shares acquired pursuant to such settlement and the receipt of any dividends, and (ii) do not commit to and are 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 </w:t>
      </w:r>
      <w:r>
        <w:rPr>
          <w:rFonts w:ascii="Times New Roman" w:hAnsi="Times New Roman"/>
          <w:i/>
          <w:sz w:val="20"/>
        </w:rPr>
        <w:t>PARTICIPANT SHOULD CONSULT A TAX ADVISER APPROPRIATELY QUALIFIED IN THE COUNTRY OR COUNTRIES IN WHICH PARTICIPANT RESIDES OR IS SUBJECT TO TAXATION.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Withholding</w:t>
      </w:r>
      <w:r>
        <w:rPr>
          <w:rFonts w:ascii="Times New Roman" w:hAnsi="Times New Roman"/>
          <w:sz w:val="20"/>
        </w:rPr>
        <w:t xml:space="preserve">. Prior to any relevant taxable or tax withholding event, as applicable, Participant agrees to make arrangements satisfactory to the Company and/or the Employer to satisfy all Tax-Related Items. In this regard, Participant authorizes the Company and/or the Employer, or their respective agents, at their discretion, to satisfy any withholding obligations for Tax-Related Items by one or a combination of the following all under such rules as may be established by the Committee and in compliance with the Company’s Insider Trading Policy and 10b5-1 Trading Plan Policy,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withholding from Participant’s wages or other cash compensation paid to Participant by the Company and/or the Employer;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withholding from proceeds of the sale of Shares acquired upon settlement of the RSUs either through a voluntary sale or through a mandatory sale arranged by the Company (on Participant’s behalf pursuant to this authorization and without further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withholding Shares to be issued upon settlement of the RSUs, provided the Company only withholds the number of Shares necessary to satisfy no more than the maximum applicable statutory withholding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Participant’s payment of a cash amount (including by check representing readily available funds or a wire transfer);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arrangement approved by the Committee and permitted under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however, that if Participant is a Section 16 officer of the Company under the Exchange Act, then the Committee (as constituted in accordance with Rule 16b-3 under the Exchange Act) will establish the method of withholding from alternatives (i)-(v) above prior to the Tax-Related Items withholding event, and unless determined otherwise by the Committee in advance of a Tax-Related Items withholding event, the method of withholding for this RSU will be (ii) above. </w:t>
      </w:r>
    </w:p>
    <w:p>
      <w:pPr>
        <w:pStyle w:val="TextBody"/>
        <w:bidi w:val="0"/>
        <w:spacing w:before="240" w:after="0"/>
        <w:jc w:val="left"/>
        <w:rPr>
          <w:rFonts w:ascii="Times New Roman" w:hAnsi="Times New Roman"/>
          <w:sz w:val="20"/>
        </w:rPr>
      </w:pPr>
      <w:r>
        <w:rPr>
          <w:rFonts w:ascii="Times New Roman" w:hAnsi="Times New Roman"/>
          <w:sz w:val="20"/>
        </w:rPr>
        <w:t xml:space="preserve">Depending on the withholding method, the Company may withhold or account for Tax-Related Items by considering applicable statutory withholding rates or other applicable withholding rates, including up to the maximum permissible statutory rate for Participant’s tax jurisdiction(s) in which case Participant will have no entitlement to the equivalent amount in Shares and will receive a refund of any over-withheld amount in cash in accordance with applicable law.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 </w:t>
      </w:r>
    </w:p>
    <w:p>
      <w:pPr>
        <w:pStyle w:val="TextBody"/>
        <w:bidi w:val="0"/>
        <w:spacing w:before="240" w:after="0"/>
        <w:jc w:val="left"/>
        <w:rPr>
          <w:rFonts w:ascii="Times New Roman" w:hAnsi="Times New Roman"/>
          <w:sz w:val="20"/>
        </w:rPr>
      </w:pPr>
      <w:r>
        <w:rPr>
          <w:rFonts w:ascii="Times New Roman" w:hAnsi="Times New Roman"/>
          <w:sz w:val="20"/>
        </w:rPr>
        <w:t xml:space="preserve">Finally, Participant agrees to pay to the Company and/or the Employer any amount of Tax-Related Items that the Company and/or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b/>
          <w:sz w:val="20"/>
          <w:u w:val="single"/>
        </w:rPr>
        <w:t>Nature of Grant</w:t>
      </w:r>
      <w:r>
        <w:rPr>
          <w:rFonts w:ascii="Times New Roman" w:hAnsi="Times New Roman"/>
          <w:b/>
          <w:sz w:val="20"/>
        </w:rPr>
        <w:t>.</w:t>
      </w:r>
      <w:r>
        <w:rPr>
          <w:rFonts w:ascii="Times New Roman" w:hAnsi="Times New Roman"/>
          <w:sz w:val="20"/>
        </w:rPr>
        <w:t xml:space="preserve"> By accepting the RSUs, Participant acknowledges, understands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the Plan is established voluntarily by the Company, it is discretionary in nature and it may be modified, amended, suspended or terminated by the Company at any time, to the extent permitted by the Plan; </w:t>
      </w:r>
    </w:p>
    <w:p>
      <w:pPr>
        <w:pStyle w:val="TextBody"/>
        <w:bidi w:val="0"/>
        <w:spacing w:before="240" w:after="0"/>
        <w:jc w:val="left"/>
        <w:rPr>
          <w:rFonts w:ascii="Times New Roman" w:hAnsi="Times New Roman"/>
          <w:sz w:val="20"/>
        </w:rPr>
      </w:pPr>
      <w:r>
        <w:rPr>
          <w:rFonts w:ascii="Times New Roman" w:hAnsi="Times New Roman"/>
          <w:sz w:val="20"/>
        </w:rPr>
        <w:t xml:space="preserve">(b) the grant of the RSUs is exceptional, voluntary, and occasional, and does not create any contractual or other right to receive future grants of RSUs, or benefits in lieu of RSUs, even if RSUs have been granted in the past;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all decisions with respect to future RSUs or other grants, if any, will be at the sole discretion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Participant is voluntarily participating in the Plan; </w:t>
      </w:r>
    </w:p>
    <w:p>
      <w:pPr>
        <w:pStyle w:val="TextBody"/>
        <w:bidi w:val="0"/>
        <w:spacing w:before="240" w:after="0"/>
        <w:jc w:val="left"/>
        <w:rPr>
          <w:rFonts w:ascii="Times New Roman" w:hAnsi="Times New Roman"/>
          <w:sz w:val="20"/>
        </w:rPr>
      </w:pPr>
      <w:r>
        <w:rPr>
          <w:rFonts w:ascii="Times New Roman" w:hAnsi="Times New Roman"/>
          <w:sz w:val="20"/>
        </w:rPr>
        <w:t xml:space="preserve">(e) the RSUs and Participant’s participation in the Plan will not create a right to employment or be interpreted as forming or amending an employment or service contract with the Company or the Employer and will not interfere with the ability of the Company or the Employer, as applicable, to terminate Participant’s Service; </w:t>
      </w:r>
    </w:p>
    <w:p>
      <w:pPr>
        <w:pStyle w:val="TextBody"/>
        <w:bidi w:val="0"/>
        <w:spacing w:before="240" w:after="0"/>
        <w:jc w:val="left"/>
        <w:rPr>
          <w:rFonts w:ascii="Times New Roman" w:hAnsi="Times New Roman"/>
          <w:sz w:val="20"/>
        </w:rPr>
      </w:pPr>
      <w:r>
        <w:rPr>
          <w:rFonts w:ascii="Times New Roman" w:hAnsi="Times New Roman"/>
          <w:sz w:val="20"/>
        </w:rPr>
        <w:t xml:space="preserve">(f) the RSUs and the Shares subject to the RSUs, and the income and value of same, are not intended to replace any pension rights 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(g) the RSUs and the Shares subject to the RSUs, and the income and value of same, are not part of normal or expected compensation for any purpose, including, but not limited to, calculating any severance, resignation, termination, redundancy, dismissal, end-of-service payments, bonuses, long-service awards, pension or retirement, or welfare benefits or similar payments; </w:t>
      </w:r>
    </w:p>
    <w:p>
      <w:pPr>
        <w:pStyle w:val="TextBody"/>
        <w:bidi w:val="0"/>
        <w:spacing w:before="240" w:after="0"/>
        <w:jc w:val="left"/>
        <w:rPr>
          <w:rFonts w:ascii="Times New Roman" w:hAnsi="Times New Roman"/>
          <w:sz w:val="20"/>
        </w:rPr>
      </w:pPr>
      <w:r>
        <w:rPr>
          <w:rFonts w:ascii="Times New Roman" w:hAnsi="Times New Roman"/>
          <w:sz w:val="20"/>
        </w:rPr>
        <w:t xml:space="preserve">(h) unless otherwise agreed with the Company, the RSUs, and the Shares subject to the RSUs, and the income and value of same, are not granted as consideration for, or in connection with, the service Participant may provide as a director of a Parent, Subsidiary, or Affiliate; </w:t>
      </w:r>
    </w:p>
    <w:p>
      <w:pPr>
        <w:pStyle w:val="TextBody"/>
        <w:bidi w:val="0"/>
        <w:spacing w:before="240" w:after="0"/>
        <w:jc w:val="left"/>
        <w:rPr>
          <w:rFonts w:ascii="Times New Roman" w:hAnsi="Times New Roman"/>
          <w:sz w:val="20"/>
        </w:rPr>
      </w:pPr>
      <w:r>
        <w:rPr>
          <w:rFonts w:ascii="Times New Roman" w:hAnsi="Times New Roman"/>
          <w:sz w:val="20"/>
        </w:rPr>
        <w:t xml:space="preserve">(i) the future value of the underlying Shares is unknown, indeterminable, and cannot be predicted with certainty; </w:t>
      </w:r>
    </w:p>
    <w:p>
      <w:pPr>
        <w:pStyle w:val="TextBody"/>
        <w:bidi w:val="0"/>
        <w:spacing w:before="240" w:after="0"/>
        <w:jc w:val="left"/>
        <w:rPr>
          <w:rFonts w:ascii="Times New Roman" w:hAnsi="Times New Roman"/>
          <w:sz w:val="20"/>
        </w:rPr>
      </w:pPr>
      <w:r>
        <w:rPr>
          <w:rFonts w:ascii="Times New Roman" w:hAnsi="Times New Roman"/>
          <w:sz w:val="20"/>
        </w:rPr>
        <w:t xml:space="preserve">(j) no claim or entitlement to compensation or damages will arise from forfeiture of the RSUs resulting from Participant’s termination of Service (regardless of the reason for such termination and whether or not later found to be invalid or in breach of employment laws in the jurisdiction where Participant is employed or the terms of Participant’s employment agreement, if any), and in consideration of the grant of the RSUs to which Participant is otherwise not entitled, Participant irrevocably agrees never to institute any claim against the Employer, the Company, and any Parent, Subsidiary or Affiliate; waives his or her ability, if any, to bring any such claim; and releases the Employer, the Company, and any Parent, Subsidiary, or Affiliate from any such claim; if, notwithstanding the foregoing, any such claim is allowed by a court of competent jurisdiction, then, by participating in the Plan, Participant will be deemed irrevocably to have agreed not to pursue such claim and agrees to execute any and all documents necessary to request dismissal or withdrawal of such claim; </w:t>
      </w:r>
    </w:p>
    <w:p>
      <w:pPr>
        <w:pStyle w:val="TextBody"/>
        <w:bidi w:val="0"/>
        <w:spacing w:before="240" w:after="0"/>
        <w:jc w:val="left"/>
        <w:rPr>
          <w:rFonts w:ascii="Times New Roman" w:hAnsi="Times New Roman"/>
          <w:sz w:val="20"/>
        </w:rPr>
      </w:pPr>
      <w:r>
        <w:rPr>
          <w:rFonts w:ascii="Times New Roman" w:hAnsi="Times New Roman"/>
          <w:sz w:val="20"/>
        </w:rPr>
        <w:t xml:space="preserve">(k) 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 </w:t>
      </w:r>
    </w:p>
    <w:p>
      <w:pPr>
        <w:pStyle w:val="TextBody"/>
        <w:bidi w:val="0"/>
        <w:spacing w:before="240" w:after="0"/>
        <w:jc w:val="left"/>
        <w:rPr>
          <w:rFonts w:ascii="Times New Roman" w:hAnsi="Times New Roman"/>
          <w:sz w:val="20"/>
        </w:rPr>
      </w:pPr>
      <w:r>
        <w:rPr>
          <w:rFonts w:ascii="Times New Roman" w:hAnsi="Times New Roman"/>
          <w:sz w:val="20"/>
        </w:rPr>
        <w:t xml:space="preserve">(l) the following provisions apply only if Participant is providing services outside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 the RSUs and the Shares subject to the RSUs are not part of normal or expected compensation or salary for any purpose; </w:t>
      </w:r>
    </w:p>
    <w:p>
      <w:pPr>
        <w:pStyle w:val="TextBody"/>
        <w:bidi w:val="0"/>
        <w:spacing w:before="240" w:after="0"/>
        <w:jc w:val="left"/>
        <w:rPr>
          <w:rFonts w:ascii="Times New Roman" w:hAnsi="Times New Roman"/>
          <w:sz w:val="20"/>
        </w:rPr>
      </w:pPr>
      <w:r>
        <w:rPr>
          <w:rFonts w:ascii="Times New Roman" w:hAnsi="Times New Roman"/>
          <w:sz w:val="20"/>
        </w:rPr>
        <w:t xml:space="preserve">(ii) Participant acknowledges and agrees that neither the Company, the Employer nor any Parent or Subsidiary or Affiliate will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upon settlement.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No Advice Regarding Grant</w:t>
      </w:r>
      <w:r>
        <w:rPr>
          <w:rFonts w:ascii="Times New Roman" w:hAnsi="Times New Roman"/>
          <w:b/>
          <w:sz w:val="20"/>
        </w:rPr>
        <w:t>.</w:t>
      </w:r>
      <w:r>
        <w:rPr>
          <w:rFonts w:ascii="Times New Roman" w:hAnsi="Times New Roman"/>
          <w:sz w:val="20"/>
        </w:rPr>
        <w:t xml:space="preserve"> The Company is not providing any tax, legal, or financial advice, nor is the Company making any recommendations regarding Participant’s participation in the Plan, or Participant’s acquisition or sale of the underlying Shares. Participant acknowledges, understands and agrees he or she should consult with his or her own personal tax, legal, and financial advisors regarding his or her participation in the Plan before taking any action related to the Plan.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9. </w:t>
      </w:r>
      <w:r>
        <w:rPr>
          <w:rFonts w:ascii="Times New Roman" w:hAnsi="Times New Roman"/>
          <w:b/>
          <w:sz w:val="20"/>
          <w:u w:val="single"/>
        </w:rPr>
        <w:t>Data Privacy</w:t>
      </w:r>
      <w:r>
        <w:rPr>
          <w:rFonts w:ascii="Times New Roman" w:hAnsi="Times New Roman"/>
          <w:b/>
          <w:sz w:val="20"/>
        </w:rPr>
        <w:t>.</w:t>
      </w:r>
      <w:r>
        <w:rPr>
          <w:rFonts w:ascii="Times New Roman" w:hAnsi="Times New Roman"/>
          <w:sz w:val="20"/>
        </w:rPr>
        <w:t xml:space="preserve"> </w:t>
      </w:r>
      <w:r>
        <w:rPr>
          <w:rFonts w:ascii="Times New Roman" w:hAnsi="Times New Roman"/>
          <w:b/>
          <w:i/>
          <w:sz w:val="20"/>
        </w:rPr>
        <w:t>Participant hereby explicitly and unambiguously consents to the collection, use and transfer, in electronic or other form, of Participant’s personal data as described in this Agreement and any other RSU grant materials by and among, as applicable, the Employer, the Company and any Parent, Subsidiary or Affiliate</w:t>
      </w:r>
      <w:r>
        <w:rPr>
          <w:rFonts w:ascii="Times New Roman" w:hAnsi="Times New Roman"/>
          <w:sz w:val="20"/>
        </w:rPr>
        <w:t xml:space="preserve"> </w:t>
      </w:r>
      <w:r>
        <w:rPr>
          <w:rFonts w:ascii="Times New Roman" w:hAnsi="Times New Roman"/>
          <w:b/>
          <w:i/>
          <w:sz w:val="20"/>
        </w:rPr>
        <w:t>for the exclusive purpose of implementing, administering and managing Participant’s participation in the Plan.</w:t>
      </w:r>
      <w:r>
        <w:rPr>
          <w:rFonts w:ascii="Times New Roman" w:hAnsi="Times New Roman"/>
          <w:sz w:val="20"/>
        </w:rPr>
        <w:t xml:space="preserve"> </w:t>
      </w:r>
    </w:p>
    <w:p>
      <w:pPr>
        <w:pStyle w:val="TextBody"/>
        <w:bidi w:val="0"/>
        <w:spacing w:before="240" w:after="0"/>
        <w:jc w:val="left"/>
        <w:rPr>
          <w:rFonts w:ascii="Times New Roman" w:hAnsi="Times New Roman"/>
          <w:b/>
          <w:i/>
          <w:sz w:val="20"/>
        </w:rPr>
      </w:pPr>
      <w:r>
        <w:rPr>
          <w:rFonts w:ascii="Times New Roman" w:hAnsi="Times New Roman"/>
          <w:b/>
          <w:i/>
          <w:sz w:val="20"/>
        </w:rPr>
        <w:t xml:space="preserve">Participant understands that the Company and the Employer may hold certain personal information about Participant, including, but not limited to, Participant’s name, home address, email address and telephone number, date of birth, social insurance number, passport number or other identification number, salary, nationality, job title, any shares of stock or directorships held in the Company, details of all RSUs or any other entitlement to shares of stock awarded, canceled, exercised, vested, unvested or outstanding in Participant’s favor (“Data”), for the exclusive purpose of implementing, administering and managing the Plan. </w:t>
      </w:r>
    </w:p>
    <w:p>
      <w:pPr>
        <w:pStyle w:val="TextBody"/>
        <w:bidi w:val="0"/>
        <w:spacing w:before="240" w:after="0"/>
        <w:jc w:val="left"/>
        <w:rPr>
          <w:rFonts w:ascii="Times New Roman" w:hAnsi="Times New Roman"/>
          <w:b/>
          <w:i/>
          <w:sz w:val="20"/>
        </w:rPr>
      </w:pPr>
      <w:r>
        <w:rPr>
          <w:rFonts w:ascii="Times New Roman" w:hAnsi="Times New Roman"/>
          <w:b/>
          <w:i/>
          <w:sz w:val="20"/>
        </w:rPr>
        <w:t xml:space="preserve">Participant understands that Data will be transferred to the stock plan service provider as may be designated by the Company from time to time or its affiliates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the stock plan service provider as may be designated by the Company from time to time, and its affiliates,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and career with the Employer will not be adversely affected; the only adverse consequence of refusing or withdrawing Participant’s consent is that the Company would not be able to grant Participant RSUs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Language</w:t>
      </w:r>
      <w:r>
        <w:rPr>
          <w:rFonts w:ascii="Times New Roman" w:hAnsi="Times New Roman"/>
          <w:b/>
          <w:sz w:val="20"/>
        </w:rPr>
        <w:t>.</w:t>
      </w:r>
      <w:r>
        <w:rPr>
          <w:rFonts w:ascii="Times New Roman" w:hAnsi="Times New Roman"/>
          <w:sz w:val="20"/>
        </w:rPr>
        <w:t xml:space="preserve"> If Participant has received this Agreement or any other document related to the RSU and/or the Plan translated into a language other than English and if the meaning of the translated version is different than the English version, the English version will control.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Appendix</w:t>
      </w:r>
      <w:r>
        <w:rPr>
          <w:rFonts w:ascii="Times New Roman" w:hAnsi="Times New Roman"/>
          <w:b/>
          <w:sz w:val="20"/>
        </w:rPr>
        <w:t>.</w:t>
      </w:r>
      <w:r>
        <w:rPr>
          <w:rFonts w:ascii="Times New Roman" w:hAnsi="Times New Roman"/>
          <w:sz w:val="20"/>
        </w:rPr>
        <w:t xml:space="preserve"> Notwithstanding any provisions in this Agreement, the RSUs will be subject to any special terms and conditions set forth in any Appendix to this Agreement for Participant’s country. Moreover, if Participant relocates to one of the countries included in the Appendix, the special terms and conditions for such country will apply to Participant, to the extent the Company determines that the application of such terms and conditions is necessary or advisable for legal or administrative reasons. The Appendix constitutes part of this Agreement.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Imposition of Other Requirements</w:t>
      </w:r>
      <w:r>
        <w:rPr>
          <w:rFonts w:ascii="Times New Roman" w:hAnsi="Times New Roman"/>
          <w:b/>
          <w:sz w:val="20"/>
        </w:rPr>
        <w:t>.</w:t>
      </w:r>
      <w:r>
        <w:rPr>
          <w:rFonts w:ascii="Times New Roman" w:hAnsi="Times New Roman"/>
          <w:sz w:val="20"/>
        </w:rPr>
        <w:t xml:space="preserve"> The Company reserves the right to impose other requirements on Participant’s participation in the Plan, on the RSUs and on any Shares acquired under the Plan, to the extent the Company determines it is necessary or advisable for legal or administrative reasons, and to require Participant to sign any additional agreements or undertakings that may be necessary to accomplish the foregoing.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Acknowledgement</w:t>
      </w:r>
      <w:r>
        <w:rPr>
          <w:rFonts w:ascii="Times New Roman" w:hAnsi="Times New Roman"/>
          <w:b/>
          <w:sz w:val="20"/>
        </w:rPr>
        <w:t>.</w:t>
      </w:r>
      <w:r>
        <w:rPr>
          <w:rFonts w:ascii="Times New Roman" w:hAnsi="Times New Roman"/>
          <w:sz w:val="20"/>
        </w:rPr>
        <w:t xml:space="preserve"> The Company and Participant agree that the RSUs are granted under and governed by the Notice, this Agreement, and the Plan (incorporated herein by reference). Participant: (a) acknowledges receipt of a copy of the Plan and the Plan prospectus, (b) represents that Participant has carefully read and is familiar with their provisions, and (c) hereby accepts the RSUs subject to all of the terms and conditions set forth herein and those set forth in the Plan and the Notice.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Entire Agreement; Enforcement of Rights</w:t>
      </w:r>
      <w:r>
        <w:rPr>
          <w:rFonts w:ascii="Times New Roman" w:hAnsi="Times New Roman"/>
          <w:b/>
          <w:sz w:val="20"/>
        </w:rPr>
        <w:t>.</w:t>
      </w:r>
      <w:r>
        <w:rPr>
          <w:rFonts w:ascii="Times New Roman" w:hAnsi="Times New Roman"/>
          <w:sz w:val="20"/>
        </w:rPr>
        <w:t xml:space="preserve"> This Agreement, the Plan, and the Notice constitute 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will be effective unless in writing and signed by the parties to this Agreement (which writing and signing may be electronic). The failure by either party to enforce any rights under this Agreement will not be construed as a waiver of any rights of such party. </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u w:val="single"/>
        </w:rPr>
        <w:t>Compliance with Laws and Regulations</w:t>
      </w:r>
      <w:r>
        <w:rPr>
          <w:rFonts w:ascii="Times New Roman" w:hAnsi="Times New Roman"/>
          <w:b/>
          <w:sz w:val="20"/>
        </w:rPr>
        <w:t>.</w:t>
      </w:r>
      <w:r>
        <w:rPr>
          <w:rFonts w:ascii="Times New Roman" w:hAnsi="Times New Roman"/>
          <w:sz w:val="20"/>
        </w:rPr>
        <w:t xml:space="preserve"> The issuance of Shares and the sale of Shares will be subject to and conditioned upon compliance by the Company and Participant with all applicable state, federal, local and foreign laws and regulations and with all applicable requirements of any stock exchange or automated quotation system on which the Company’s Shares may be listed or quoted at the time of such issuance or transfer. Participant understands that the Company is under no obligation to register or qualify the Common Stock with any state, federal, or foreign securities commission or to seek approval or clearance from any governmental authority for the issuance or sale of the Shares. Further, Participant agrees that the Company will have unilateral authority to amend the Plan and this RSU Agreement without Participant’s consent to the extent necessary to comply with securities or other laws applicable to issuance of Shares. Finally, the Shares issued pursuant to this RSU Agreement will be endorsed with appropriate legends, if any, determined by the Company. </w:t>
      </w:r>
    </w:p>
    <w:p>
      <w:pPr>
        <w:pStyle w:val="TextBody"/>
        <w:bidi w:val="0"/>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b/>
          <w:sz w:val="20"/>
          <w:u w:val="single"/>
        </w:rPr>
        <w:t>Severability</w:t>
      </w:r>
      <w:r>
        <w:rPr>
          <w:rFonts w:ascii="Times New Roman" w:hAnsi="Times New Roman"/>
          <w:b/>
          <w:sz w:val="20"/>
        </w:rPr>
        <w:t>.</w:t>
      </w:r>
      <w:r>
        <w:rPr>
          <w:rFonts w:ascii="Times New Roman" w:hAnsi="Times New Roman"/>
          <w:sz w:val="20"/>
        </w:rPr>
        <w:t xml:space="preserve"> If one or more provisions of this Agreement are held to be unenforceable under applicable law, the parties agree to renegotiate such provision in good faith. In the event that the parties cannot reach a mutually agreeable and enforceable replacement for such provision, then (a) such provision will be excluded from this Agreement, (b) the balance of this Agreement will be interpreted as if such provision were so excluded and (c) the balance of this Agreement will be enforceable in accordance with its terms. </w:t>
      </w:r>
    </w:p>
    <w:p>
      <w:pPr>
        <w:pStyle w:val="TextBody"/>
        <w:bidi w:val="0"/>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sz w:val="20"/>
          <w:u w:val="single"/>
        </w:rPr>
        <w:t>Governing Law and Venue</w:t>
      </w:r>
      <w:r>
        <w:rPr>
          <w:rFonts w:ascii="Times New Roman" w:hAnsi="Times New Roman"/>
          <w:b/>
          <w:sz w:val="20"/>
        </w:rPr>
        <w:t>.</w:t>
      </w:r>
      <w:r>
        <w:rPr>
          <w:rFonts w:ascii="Times New Roman" w:hAnsi="Times New Roman"/>
          <w:sz w:val="20"/>
        </w:rPr>
        <w:t xml:space="preserve"> This Agreement and all acts and transactions pursuant hereto and the rights and obligations of the parties hereto will be governed, construed, and interpreted in accordance with the laws of the State of Delaware, without giving effect to such state’s conflict of laws rules. </w:t>
      </w:r>
    </w:p>
    <w:p>
      <w:pPr>
        <w:pStyle w:val="TextBody"/>
        <w:bidi w:val="0"/>
        <w:spacing w:before="240" w:after="0"/>
        <w:jc w:val="left"/>
        <w:rPr>
          <w:rFonts w:ascii="Times New Roman" w:hAnsi="Times New Roman"/>
          <w:sz w:val="20"/>
        </w:rPr>
      </w:pPr>
      <w:r>
        <w:rPr>
          <w:rFonts w:ascii="Times New Roman" w:hAnsi="Times New Roman"/>
          <w:sz w:val="20"/>
        </w:rPr>
        <w:t xml:space="preserve">Any and all disputes relating to, concerning or arising from this Agreement, or relating to, concerning, or arising from the relationship between the parties evidenced by the Plan or this Agreement, will be brought and heard exclusively in the U.S. District Court for the District of Massachusetts or the Massachusetts Superior Court, Middlesex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 </w:t>
      </w:r>
    </w:p>
    <w:p>
      <w:pPr>
        <w:pStyle w:val="TextBody"/>
        <w:bidi w:val="0"/>
        <w:spacing w:before="24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w:t>
      </w:r>
      <w:r>
        <w:rPr>
          <w:rFonts w:ascii="Times New Roman" w:hAnsi="Times New Roman"/>
          <w:b/>
          <w:sz w:val="20"/>
          <w:u w:val="single"/>
        </w:rPr>
        <w:t>No Rights as Employee</w:t>
      </w:r>
      <w:r>
        <w:rPr>
          <w:rFonts w:ascii="Times New Roman" w:hAnsi="Times New Roman"/>
          <w:b/>
          <w:sz w:val="20"/>
        </w:rPr>
        <w:t>.</w:t>
      </w:r>
      <w:r>
        <w:rPr>
          <w:rFonts w:ascii="Times New Roman" w:hAnsi="Times New Roman"/>
          <w:sz w:val="20"/>
        </w:rPr>
        <w:t xml:space="preserve"> Nothing in this Agreement will affect in any manner whatsoever any right or power of the Employer or the Company to terminate Participant’s Service, for any reason, with or without Cause. </w:t>
      </w:r>
    </w:p>
    <w:p>
      <w:pPr>
        <w:pStyle w:val="TextBody"/>
        <w:bidi w:val="0"/>
        <w:spacing w:before="24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w:t>
      </w:r>
      <w:r>
        <w:rPr>
          <w:rFonts w:ascii="Times New Roman" w:hAnsi="Times New Roman"/>
          <w:b/>
          <w:sz w:val="20"/>
          <w:u w:val="single"/>
        </w:rPr>
        <w:t>Consent to Electronic Delivery of All Plan Documents and Disclosures</w:t>
      </w:r>
      <w:r>
        <w:rPr>
          <w:rFonts w:ascii="Times New Roman" w:hAnsi="Times New Roman"/>
          <w:b/>
          <w:sz w:val="20"/>
        </w:rPr>
        <w:t>.</w:t>
      </w:r>
      <w:r>
        <w:rPr>
          <w:rFonts w:ascii="Times New Roman" w:hAnsi="Times New Roman"/>
          <w:sz w:val="20"/>
        </w:rPr>
        <w:t xml:space="preserve"> By Participant’s acceptance of the Notice (whether in writing or electronically), Participant and the Company agree that the RSUs are granted under and governed by the terms and conditions of the Plan, the Notice, and this Agreement. Participant has reviewed the Plan, the Notice, and this Agreement in their entirety, has had an opportunity to obtain the advice of counsel prior to executing this Notice and Agreement, and fully understands all provisions of the Plan, the Notice, and this Agreement. Participant hereby agrees to accept as binding, conclusive, and final all decisions or interpretations of the Committee upon any questions relating to the Plan, the Notice, and this Agreement. Participant further agrees to notify the Company upon any change in Participant’s residence address. By acceptance of the RSUs, Participant agrees to participate in the Plan through an on-line or electronic system established and maintained by the Company or a third party designated by the Company and consents to the electronic delivery of the Notice, this Agreement,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Stock Administration.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Stock Administration. Finally, Participant understands that Participant is not required to consent to electronic delivery if local laws prohibit such consent. </w:t>
      </w:r>
    </w:p>
    <w:p>
      <w:pPr>
        <w:pStyle w:val="TextBody"/>
        <w:bidi w:val="0"/>
        <w:spacing w:before="240" w:after="0"/>
        <w:jc w:val="left"/>
        <w:rPr>
          <w:rFonts w:ascii="Times New Roman" w:hAnsi="Times New Roman"/>
          <w:sz w:val="20"/>
        </w:rPr>
      </w:pPr>
      <w:r>
        <w:rPr>
          <w:rFonts w:ascii="Times New Roman" w:hAnsi="Times New Roman"/>
          <w:b/>
          <w:sz w:val="20"/>
        </w:rPr>
        <w:t>20.</w:t>
      </w:r>
      <w:r>
        <w:rPr>
          <w:rFonts w:ascii="Times New Roman" w:hAnsi="Times New Roman"/>
          <w:sz w:val="20"/>
        </w:rPr>
        <w:t xml:space="preserve"> </w:t>
      </w:r>
      <w:r>
        <w:rPr>
          <w:rFonts w:ascii="Times New Roman" w:hAnsi="Times New Roman"/>
          <w:b/>
          <w:sz w:val="20"/>
          <w:u w:val="single"/>
        </w:rPr>
        <w:t>Insider Trading Restrictions/Market Abuse Laws</w:t>
      </w:r>
      <w:r>
        <w:rPr>
          <w:rFonts w:ascii="Times New Roman" w:hAnsi="Times New Roman"/>
          <w:b/>
          <w:sz w:val="20"/>
        </w:rPr>
        <w:t>.</w:t>
      </w:r>
      <w:r>
        <w:rPr>
          <w:rFonts w:ascii="Times New Roman" w:hAnsi="Times New Roman"/>
          <w:sz w:val="20"/>
        </w:rPr>
        <w:t xml:space="preserve"> Participant acknowledges that, depending on Participant’s country, Participant may be subject to insider trading restrictions and/or market abuse laws, which may affect Participant’s ability to acquire or sell the Shares or rights to Shares under the Plan during such times as Participant is considered to have “inside information” regarding the Company (as defined by the laws in Participant’s country).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understands that Participant should consult his or her personal legal advisor on such matters. In addition, Participant acknowledges that he or she read the Company’s Insider Trading Policy, and agrees to comply with such policy, as it may be amended from time to time, whenever Participant acquires or disposes of the Company’s securities.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Code Section</w:t>
      </w:r>
      <w:r>
        <w:rPr>
          <w:rFonts w:ascii="Times New Roman" w:hAnsi="Times New Roman"/>
          <w:sz w:val="20"/>
          <w:u w:val="single"/>
        </w:rPr>
        <w:t> </w:t>
      </w:r>
      <w:r>
        <w:rPr>
          <w:rFonts w:ascii="Times New Roman" w:hAnsi="Times New Roman"/>
          <w:b/>
          <w:sz w:val="20"/>
          <w:u w:val="single"/>
        </w:rPr>
        <w:t>409A</w:t>
      </w:r>
      <w:r>
        <w:rPr>
          <w:rFonts w:ascii="Times New Roman" w:hAnsi="Times New Roman"/>
          <w:b/>
          <w:sz w:val="20"/>
        </w:rPr>
        <w:t>.</w:t>
      </w:r>
      <w:r>
        <w:rPr>
          <w:rFonts w:ascii="Times New Roman" w:hAnsi="Times New Roman"/>
          <w:sz w:val="20"/>
        </w:rPr>
        <w:t xml:space="preserve"> For purposes of this Agreement, a termination of employment will be determined consistent with the rules relating to a “separation from service” as defined in Section 409A of the Internal Revenue Code and the regulations thereunder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Notwithstanding anything else provided herein, to the extent any payments provided under this RSU Agreement in connection with Participant’s termination of employment constitute deferred compensation subject to Section 409A, and Participant is deemed at the time of such termination of employment to be a “specified employee” under Section 409A, then such payment will not be made or commence until the earlier of (a) the expiration of the six (6) month period measured from Participant’s separation from service to the Employer or the Company, or (b) the date of Participant’s death following such a separation from service; provided, however, that such deferral will only be effected to the extent required to avoid adverse tax treatment to Participant including, without limitation, the additional tax for which Participant would otherwise be liable under Section 409A(a)(1)(B) in the absence of such a deferral. To the extent any payment under this RSU Agreement may be classified as a “short-term deferral” within the meaning of Section 409A, such payment will be deemed a short-term deferral, even if it may also qualify for an exemption from Section 409A under another provision of Section 409A. Payments pursuant to this section are intended to constitute separate payments for purposes of Section 1.409A-2(b)(2) of the Treasury Regulations.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Award Subject to Company Clawback or Recoupment</w:t>
      </w:r>
      <w:r>
        <w:rPr>
          <w:rFonts w:ascii="Times New Roman" w:hAnsi="Times New Roman"/>
          <w:b/>
          <w:sz w:val="20"/>
        </w:rPr>
        <w:t>.</w:t>
      </w:r>
      <w:r>
        <w:rPr>
          <w:rFonts w:ascii="Times New Roman" w:hAnsi="Times New Roman"/>
          <w:sz w:val="20"/>
        </w:rPr>
        <w:t xml:space="preserve"> To the extent permitted by applicable law, the RSUs will be subject to clawback or recoupment pursuant to any compensation clawback or recoupment policy adopted by the Board or required by law during the term of Participant’s Service that is applicable to Participant. In addition to any other remedies available under such policy and applicable law, the Company may require the cancellation of Participant’s RSUs (whether vested or unvested) and the recoupment of any gains realized with respect to Participant’s RSUs. </w:t>
      </w:r>
    </w:p>
    <w:p>
      <w:pPr>
        <w:pStyle w:val="TextBody"/>
        <w:bidi w:val="0"/>
        <w:spacing w:before="240" w:after="0"/>
        <w:jc w:val="left"/>
        <w:rPr>
          <w:rFonts w:ascii="Times New Roman" w:hAnsi="Times New Roman"/>
          <w:sz w:val="20"/>
        </w:rPr>
      </w:pPr>
      <w:r>
        <w:rPr>
          <w:rFonts w:ascii="Times New Roman" w:hAnsi="Times New Roman"/>
          <w:sz w:val="20"/>
        </w:rPr>
        <w:t xml:space="preserve">BY ACCEPTING THIS AWARD OF RSUS, PARTICIPANT AGREES TO ALL OF THE TERMS AND CONDITIONS DESCRIBED ABOVE AND IN THE PLAN.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w:t>
      </w:r>
    </w:p>
    <w:p>
      <w:pPr>
        <w:pStyle w:val="TextBody"/>
        <w:bidi w:val="0"/>
        <w:spacing w:before="120" w:after="0"/>
        <w:jc w:val="center"/>
        <w:rPr>
          <w:rFonts w:ascii="Times New Roman" w:hAnsi="Times New Roman"/>
          <w:b/>
          <w:sz w:val="20"/>
        </w:rPr>
      </w:pPr>
      <w:r>
        <w:rPr>
          <w:rFonts w:ascii="Times New Roman" w:hAnsi="Times New Roman"/>
          <w:b/>
          <w:sz w:val="20"/>
        </w:rPr>
        <w:t xml:space="preserve">STOKE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2023 INDUCEMENT PLAN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UNIT AWARD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COUNTRY SPECIFIC PROVISIONS FOR EMPLOYEES OUTSIDE THE U.S. </w:t>
      </w:r>
    </w:p>
    <w:p>
      <w:pPr>
        <w:pStyle w:val="TextBody"/>
        <w:bidi w:val="0"/>
        <w:spacing w:before="240" w:after="0"/>
        <w:jc w:val="left"/>
        <w:rPr>
          <w:rFonts w:ascii="Times New Roman" w:hAnsi="Times New Roman"/>
          <w:b/>
          <w:i/>
          <w:sz w:val="20"/>
        </w:rPr>
      </w:pPr>
      <w:r>
        <w:rPr>
          <w:rFonts w:ascii="Times New Roman" w:hAnsi="Times New Roman"/>
          <w:b/>
          <w:i/>
          <w:sz w:val="20"/>
        </w:rPr>
        <w:t xml:space="preserve">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This Appendix includes additional terms and conditions that govern the RSUs granted to Participant under the Plan if Participant resides and/or works in one of the countries below. This Appendix forms part of the Agreement. Any capitalized term used in this Appendix without definition will have the meaning ascribed to it in the Notice, the Agreement, or the Plan,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If Participant is a citizen or resident of a country, or is considered resident of a country, other than the one in which Participant is currently working, or Participant transfers employment and/or residency between countries after the Date of Grant, the Company will, in its sole discretion, determine to what extent the additional terms and conditions included herein will apply to Participant under these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Notifications </w:t>
      </w:r>
    </w:p>
    <w:p>
      <w:pPr>
        <w:pStyle w:val="TextBody"/>
        <w:bidi w:val="0"/>
        <w:spacing w:before="120" w:after="0"/>
        <w:jc w:val="left"/>
        <w:rPr>
          <w:rFonts w:ascii="Times New Roman" w:hAnsi="Times New Roman"/>
          <w:sz w:val="20"/>
        </w:rPr>
      </w:pPr>
      <w:r>
        <w:rPr>
          <w:rFonts w:ascii="Times New Roman" w:hAnsi="Times New Roman"/>
          <w:sz w:val="20"/>
        </w:rPr>
        <w:t xml:space="preserve">This Appendix also includes information relating to exchange control, securities laws, foreign asset/account reporting, and other issues of which Participant should be aware with respect to Participant’s participation in the Plan. The information is based on the securities, exchange control, foreign asset/account reporting, and other laws in effect in the respective countries as of April 5, 2023. Such laws are complex and change frequently. As a result, Participant should not rely on the information herein as the only source of information relating to the consequences of Participant’s participation in the Plan because the information may be out of date at the time that Participant vests in the RSUs, sells Shares acquired under the Plan, or takes any other action in connection with the Plan.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Participant’s situation. </w:t>
      </w:r>
    </w:p>
    <w:p>
      <w:pPr>
        <w:pStyle w:val="TextBody"/>
        <w:bidi w:val="0"/>
        <w:spacing w:before="360" w:after="0"/>
        <w:jc w:val="left"/>
        <w:rPr>
          <w:rFonts w:ascii="Times New Roman" w:hAnsi="Times New Roman"/>
          <w:b/>
          <w:sz w:val="20"/>
        </w:rPr>
      </w:pPr>
      <w:r>
        <w:rPr>
          <w:rFonts w:ascii="Times New Roman" w:hAnsi="Times New Roman"/>
          <w:b/>
          <w:sz w:val="20"/>
        </w:rPr>
        <w:t xml:space="preserve">Finally, if Participant is a citizen or resident of a country, or is considered resident of a country, other than the one in which Participant is currently working and/or residing, or Participant transfers employment and/or residency after the Date of Grant, the information contained herein may not apply to Participant in the same manner. </w:t>
      </w:r>
    </w:p>
    <w:p>
      <w:pPr>
        <w:pStyle w:val="TextBody"/>
        <w:bidi w:val="0"/>
        <w:spacing w:before="480" w:after="0"/>
        <w:jc w:val="center"/>
        <w:rPr>
          <w:rFonts w:ascii="Times New Roman" w:hAnsi="Times New Roman"/>
          <w:b/>
          <w:sz w:val="20"/>
        </w:rPr>
      </w:pPr>
      <w:r>
        <w:rPr>
          <w:rFonts w:ascii="Times New Roman" w:hAnsi="Times New Roman"/>
          <w:b/>
          <w:sz w:val="20"/>
        </w:rPr>
        <w:t xml:space="preserve">APPENDIX </w:t>
      </w:r>
    </w:p>
    <w:p>
      <w:pPr>
        <w:pStyle w:val="TextBody"/>
        <w:bidi w:val="0"/>
        <w:spacing w:before="120" w:after="0"/>
        <w:jc w:val="center"/>
        <w:rPr>
          <w:rFonts w:ascii="Times New Roman" w:hAnsi="Times New Roman"/>
          <w:b/>
          <w:sz w:val="20"/>
        </w:rPr>
      </w:pPr>
      <w:r>
        <w:rPr>
          <w:rFonts w:ascii="Times New Roman" w:hAnsi="Times New Roman"/>
          <w:b/>
          <w:sz w:val="20"/>
        </w:rPr>
        <w:t xml:space="preserve">STOKE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2023 INDUCEMENT PLAN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UNIT AWARD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COUNTRY SPECIFIC PROVISIONS FOR EMPLOYEES OUTSIDE THE U.S. </w:t>
      </w:r>
    </w:p>
    <w:p>
      <w:pPr>
        <w:pStyle w:val="TextBody"/>
        <w:bidi w:val="0"/>
        <w:spacing w:before="240" w:after="0"/>
        <w:jc w:val="center"/>
        <w:rPr>
          <w:rFonts w:ascii="Times New Roman" w:hAnsi="Times New Roman"/>
          <w:sz w:val="20"/>
        </w:rPr>
      </w:pPr>
      <w:r>
        <w:rPr>
          <w:rFonts w:ascii="Times New Roman" w:hAnsi="Times New Roman"/>
          <w:sz w:val="20"/>
        </w:rPr>
        <w:t xml:space="preserve">None </w:t>
      </w:r>
    </w:p>
    <w:p>
      <w:pPr>
        <w:pStyle w:val="TextBody"/>
        <w:bidi w:val="0"/>
        <w:spacing w:before="240" w:after="0"/>
        <w:jc w:val="center"/>
        <w:rPr>
          <w:rFonts w:ascii="Times New Roman" w:hAnsi="Times New Roman"/>
          <w:b/>
          <w:sz w:val="20"/>
        </w:rPr>
      </w:pPr>
      <w:r>
        <w:rPr>
          <w:rFonts w:ascii="Times New Roman" w:hAnsi="Times New Roman"/>
          <w:b/>
          <w:sz w:val="20"/>
        </w:rPr>
        <w:t xml:space="preserve">STOKE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2023 INDUCEMENT PLAN </w:t>
      </w:r>
    </w:p>
    <w:p>
      <w:pPr>
        <w:pStyle w:val="TextBody"/>
        <w:bidi w:val="0"/>
        <w:spacing w:before="0" w:after="0"/>
        <w:jc w:val="center"/>
        <w:rPr>
          <w:rFonts w:ascii="Times New Roman" w:hAnsi="Times New Roman"/>
          <w:b/>
          <w:sz w:val="20"/>
        </w:rPr>
      </w:pPr>
      <w:r>
        <w:rPr>
          <w:rFonts w:ascii="Times New Roman" w:hAnsi="Times New Roman"/>
          <w:b/>
          <w:sz w:val="20"/>
        </w:rPr>
        <w:t xml:space="preserve">NOTICE OF STOCK OPTION GRANT </w:t>
      </w:r>
    </w:p>
    <w:p>
      <w:pPr>
        <w:pStyle w:val="TextBody"/>
        <w:bidi w:val="0"/>
        <w:spacing w:before="240" w:after="0"/>
        <w:jc w:val="left"/>
        <w:rPr>
          <w:rFonts w:ascii="Times New Roman" w:hAnsi="Times New Roman"/>
          <w:sz w:val="20"/>
        </w:rPr>
      </w:pPr>
      <w:r>
        <w:rPr>
          <w:rFonts w:ascii="Times New Roman" w:hAnsi="Times New Roman"/>
          <w:sz w:val="20"/>
        </w:rPr>
        <w:t>Unless otherwise defined herein, the terms defined in the Stoke Therapeutics, Inc. (the “</w:t>
      </w:r>
      <w:r>
        <w:rPr>
          <w:rFonts w:ascii="Times New Roman" w:hAnsi="Times New Roman"/>
          <w:b/>
          <w:i/>
          <w:sz w:val="20"/>
        </w:rPr>
        <w:t>Company</w:t>
      </w:r>
      <w:r>
        <w:rPr>
          <w:rFonts w:ascii="Times New Roman" w:hAnsi="Times New Roman"/>
          <w:sz w:val="20"/>
        </w:rPr>
        <w:t>”) 2023 Inducement Plan (the “</w:t>
      </w:r>
      <w:r>
        <w:rPr>
          <w:rFonts w:ascii="Times New Roman" w:hAnsi="Times New Roman"/>
          <w:b/>
          <w:i/>
          <w:sz w:val="20"/>
        </w:rPr>
        <w:t>Plan</w:t>
      </w:r>
      <w:r>
        <w:rPr>
          <w:rFonts w:ascii="Times New Roman" w:hAnsi="Times New Roman"/>
          <w:sz w:val="20"/>
        </w:rPr>
        <w:t>”) will have the same meanings in this Notice of Stock Option Grant and the electronic representation of this Notice of Stock Option Grant established and maintained by the Company or a third party designated by the Company (this “</w:t>
      </w:r>
      <w:r>
        <w:rPr>
          <w:rFonts w:ascii="Times New Roman" w:hAnsi="Times New Roman"/>
          <w:b/>
          <w:i/>
          <w:sz w:val="20"/>
        </w:rPr>
        <w:t>Notice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Name</w:t>
      </w:r>
      <w:r>
        <w:rPr>
          <w:rFonts w:ascii="Times New Roman" w:hAnsi="Times New Roman"/>
          <w:sz w:val="20"/>
        </w:rPr>
        <w:t xml:space="preserve">: «Optionee» </w:t>
      </w:r>
    </w:p>
    <w:p>
      <w:pPr>
        <w:pStyle w:val="TextBody"/>
        <w:bidi w:val="0"/>
        <w:spacing w:before="240" w:after="0"/>
        <w:jc w:val="left"/>
        <w:rPr>
          <w:rFonts w:ascii="Times New Roman" w:hAnsi="Times New Roman"/>
          <w:sz w:val="20"/>
        </w:rPr>
      </w:pPr>
      <w:r>
        <w:rPr>
          <w:rFonts w:ascii="Times New Roman" w:hAnsi="Times New Roman"/>
          <w:b/>
          <w:sz w:val="20"/>
        </w:rPr>
        <w:t>Address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You (the “</w:t>
      </w:r>
      <w:r>
        <w:rPr>
          <w:rFonts w:ascii="Times New Roman" w:hAnsi="Times New Roman"/>
          <w:b/>
          <w:i/>
          <w:sz w:val="20"/>
        </w:rPr>
        <w:t>Participant</w:t>
      </w:r>
      <w:r>
        <w:rPr>
          <w:rFonts w:ascii="Times New Roman" w:hAnsi="Times New Roman"/>
          <w:sz w:val="20"/>
        </w:rPr>
        <w:t>”) have been granted an option to purchase shares of Common Stock of the Company (the “</w:t>
      </w:r>
      <w:r>
        <w:rPr>
          <w:rFonts w:ascii="Times New Roman" w:hAnsi="Times New Roman"/>
          <w:b/>
          <w:i/>
          <w:sz w:val="20"/>
        </w:rPr>
        <w:t>Option</w:t>
      </w:r>
      <w:r>
        <w:rPr>
          <w:rFonts w:ascii="Times New Roman" w:hAnsi="Times New Roman"/>
          <w:sz w:val="20"/>
        </w:rPr>
        <w:t>”) under the Plan subject to the terms and conditions of the Plan, this Notice, and the Stock Option Award Agreement (the “</w:t>
      </w:r>
      <w:r>
        <w:rPr>
          <w:rFonts w:ascii="Times New Roman" w:hAnsi="Times New Roman"/>
          <w:b/>
          <w:i/>
          <w:sz w:val="20"/>
        </w:rPr>
        <w:t>Option Agreement</w:t>
      </w:r>
      <w:r>
        <w:rPr>
          <w:rFonts w:ascii="Times New Roman" w:hAnsi="Times New Roman"/>
          <w:sz w:val="20"/>
        </w:rPr>
        <w:t>”), including any applicable country-specific provisions in any appendix attached hereto (the “</w:t>
      </w:r>
      <w:r>
        <w:rPr>
          <w:rFonts w:ascii="Times New Roman" w:hAnsi="Times New Roman"/>
          <w:b/>
          <w:i/>
          <w:sz w:val="20"/>
        </w:rPr>
        <w:t>Appendix</w:t>
      </w:r>
      <w:r>
        <w:rPr>
          <w:rFonts w:ascii="Times New Roman" w:hAnsi="Times New Roman"/>
          <w:sz w:val="20"/>
        </w:rPr>
        <w:t xml:space="preserve">”), which constitutes part of the Option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03"/>
        <w:gridCol w:w="121"/>
        <w:gridCol w:w="7081"/>
      </w:tblGrid>
      <w:tr>
        <w:trPr/>
        <w:tc>
          <w:tcPr>
            <w:tcW w:w="300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081" w:type="dxa"/>
            <w:tcBorders/>
            <w:vAlign w:val="center"/>
          </w:tcPr>
          <w:p>
            <w:pPr>
              <w:pStyle w:val="TableContents"/>
              <w:bidi w:val="0"/>
              <w:spacing w:before="0" w:after="283"/>
              <w:jc w:val="left"/>
              <w:rPr>
                <w:sz w:val="4"/>
                <w:szCs w:val="4"/>
              </w:rPr>
            </w:pPr>
            <w:r>
              <w:rPr>
                <w:sz w:val="4"/>
                <w:szCs w:val="4"/>
              </w:rPr>
            </w:r>
          </w:p>
        </w:tc>
      </w:tr>
      <w:tr>
        <w:trPr/>
        <w:tc>
          <w:tcPr>
            <w:tcW w:w="3003" w:type="dxa"/>
            <w:tcBorders/>
          </w:tcPr>
          <w:p>
            <w:pPr>
              <w:pStyle w:val="TableContents"/>
              <w:bidi w:val="0"/>
              <w:spacing w:before="0" w:after="283"/>
              <w:jc w:val="left"/>
              <w:rPr>
                <w:b/>
              </w:rPr>
            </w:pPr>
            <w:r>
              <w:rPr>
                <w:b/>
              </w:rPr>
              <w:t>Grant Number:</w:t>
            </w:r>
          </w:p>
        </w:tc>
        <w:tc>
          <w:tcPr>
            <w:tcW w:w="121"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283"/>
              <w:jc w:val="left"/>
              <w:rPr/>
            </w:pPr>
            <w:r>
              <w:rPr/>
              <w:t>«Grant_No»</w:t>
            </w:r>
          </w:p>
        </w:tc>
      </w:tr>
      <w:tr>
        <w:trPr>
          <w:trHeight w:val="120" w:hRule="atLeast"/>
        </w:trPr>
        <w:tc>
          <w:tcPr>
            <w:tcW w:w="3003" w:type="dxa"/>
            <w:tcBorders/>
            <w:vAlign w:val="center"/>
          </w:tcPr>
          <w:p>
            <w:pPr>
              <w:pStyle w:val="TableContents"/>
              <w:bidi w:val="0"/>
              <w:spacing w:before="0" w:after="283"/>
              <w:jc w:val="left"/>
              <w:rPr>
                <w:sz w:val="4"/>
                <w:szCs w:val="4"/>
              </w:rPr>
            </w:pPr>
            <w:r>
              <w:rPr>
                <w:sz w:val="4"/>
                <w:szCs w:val="4"/>
              </w:rPr>
            </w:r>
          </w:p>
        </w:tc>
        <w:tc>
          <w:tcPr>
            <w:tcW w:w="7202" w:type="dxa"/>
            <w:gridSpan w:val="2"/>
            <w:tcBorders/>
            <w:vAlign w:val="center"/>
          </w:tcPr>
          <w:p>
            <w:pPr>
              <w:pStyle w:val="TableContents"/>
              <w:bidi w:val="0"/>
              <w:spacing w:before="0" w:after="283"/>
              <w:jc w:val="left"/>
              <w:rPr>
                <w:sz w:val="4"/>
                <w:szCs w:val="4"/>
              </w:rPr>
            </w:pPr>
            <w:r>
              <w:rPr>
                <w:sz w:val="4"/>
                <w:szCs w:val="4"/>
              </w:rPr>
            </w:r>
          </w:p>
        </w:tc>
      </w:tr>
      <w:tr>
        <w:trPr/>
        <w:tc>
          <w:tcPr>
            <w:tcW w:w="3003" w:type="dxa"/>
            <w:tcBorders/>
          </w:tcPr>
          <w:p>
            <w:pPr>
              <w:pStyle w:val="TableContents"/>
              <w:bidi w:val="0"/>
              <w:spacing w:before="0" w:after="283"/>
              <w:jc w:val="left"/>
              <w:rPr>
                <w:b/>
              </w:rPr>
            </w:pPr>
            <w:r>
              <w:rPr>
                <w:b/>
              </w:rPr>
              <w:t>Date of Grant:</w:t>
            </w:r>
          </w:p>
        </w:tc>
        <w:tc>
          <w:tcPr>
            <w:tcW w:w="121"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283"/>
              <w:jc w:val="left"/>
              <w:rPr/>
            </w:pPr>
            <w:r>
              <w:rPr/>
              <w:t>«Grant_Date»</w:t>
            </w:r>
          </w:p>
        </w:tc>
      </w:tr>
      <w:tr>
        <w:trPr>
          <w:trHeight w:val="120" w:hRule="atLeast"/>
        </w:trPr>
        <w:tc>
          <w:tcPr>
            <w:tcW w:w="3003" w:type="dxa"/>
            <w:tcBorders/>
            <w:vAlign w:val="center"/>
          </w:tcPr>
          <w:p>
            <w:pPr>
              <w:pStyle w:val="TableContents"/>
              <w:bidi w:val="0"/>
              <w:spacing w:before="0" w:after="283"/>
              <w:jc w:val="left"/>
              <w:rPr>
                <w:sz w:val="4"/>
                <w:szCs w:val="4"/>
              </w:rPr>
            </w:pPr>
            <w:r>
              <w:rPr>
                <w:sz w:val="4"/>
                <w:szCs w:val="4"/>
              </w:rPr>
            </w:r>
          </w:p>
        </w:tc>
        <w:tc>
          <w:tcPr>
            <w:tcW w:w="7202" w:type="dxa"/>
            <w:gridSpan w:val="2"/>
            <w:tcBorders/>
            <w:vAlign w:val="center"/>
          </w:tcPr>
          <w:p>
            <w:pPr>
              <w:pStyle w:val="TableContents"/>
              <w:bidi w:val="0"/>
              <w:spacing w:before="0" w:after="283"/>
              <w:jc w:val="left"/>
              <w:rPr>
                <w:sz w:val="4"/>
                <w:szCs w:val="4"/>
              </w:rPr>
            </w:pPr>
            <w:r>
              <w:rPr>
                <w:sz w:val="4"/>
                <w:szCs w:val="4"/>
              </w:rPr>
            </w:r>
          </w:p>
        </w:tc>
      </w:tr>
      <w:tr>
        <w:trPr/>
        <w:tc>
          <w:tcPr>
            <w:tcW w:w="3003" w:type="dxa"/>
            <w:tcBorders/>
          </w:tcPr>
          <w:p>
            <w:pPr>
              <w:pStyle w:val="TableContents"/>
              <w:bidi w:val="0"/>
              <w:spacing w:before="0" w:after="283"/>
              <w:jc w:val="left"/>
              <w:rPr>
                <w:b/>
              </w:rPr>
            </w:pPr>
            <w:r>
              <w:rPr>
                <w:b/>
              </w:rPr>
              <w:t>Vesting Commencement Date:</w:t>
            </w:r>
          </w:p>
        </w:tc>
        <w:tc>
          <w:tcPr>
            <w:tcW w:w="121"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283"/>
              <w:jc w:val="left"/>
              <w:rPr/>
            </w:pPr>
            <w:r>
              <w:rPr/>
              <w:t>«Vesting_CommencementDate»</w:t>
            </w:r>
          </w:p>
        </w:tc>
      </w:tr>
      <w:tr>
        <w:trPr>
          <w:trHeight w:val="120" w:hRule="atLeast"/>
        </w:trPr>
        <w:tc>
          <w:tcPr>
            <w:tcW w:w="3003" w:type="dxa"/>
            <w:tcBorders/>
            <w:vAlign w:val="center"/>
          </w:tcPr>
          <w:p>
            <w:pPr>
              <w:pStyle w:val="TableContents"/>
              <w:bidi w:val="0"/>
              <w:spacing w:before="0" w:after="283"/>
              <w:jc w:val="left"/>
              <w:rPr>
                <w:sz w:val="4"/>
                <w:szCs w:val="4"/>
              </w:rPr>
            </w:pPr>
            <w:r>
              <w:rPr>
                <w:sz w:val="4"/>
                <w:szCs w:val="4"/>
              </w:rPr>
            </w:r>
          </w:p>
        </w:tc>
        <w:tc>
          <w:tcPr>
            <w:tcW w:w="7202" w:type="dxa"/>
            <w:gridSpan w:val="2"/>
            <w:tcBorders/>
            <w:vAlign w:val="center"/>
          </w:tcPr>
          <w:p>
            <w:pPr>
              <w:pStyle w:val="TableContents"/>
              <w:bidi w:val="0"/>
              <w:spacing w:before="0" w:after="283"/>
              <w:jc w:val="left"/>
              <w:rPr>
                <w:sz w:val="4"/>
                <w:szCs w:val="4"/>
              </w:rPr>
            </w:pPr>
            <w:r>
              <w:rPr>
                <w:sz w:val="4"/>
                <w:szCs w:val="4"/>
              </w:rPr>
            </w:r>
          </w:p>
        </w:tc>
      </w:tr>
      <w:tr>
        <w:trPr/>
        <w:tc>
          <w:tcPr>
            <w:tcW w:w="3003" w:type="dxa"/>
            <w:tcBorders/>
          </w:tcPr>
          <w:p>
            <w:pPr>
              <w:pStyle w:val="TableContents"/>
              <w:bidi w:val="0"/>
              <w:spacing w:before="0" w:after="283"/>
              <w:jc w:val="left"/>
              <w:rPr>
                <w:b/>
              </w:rPr>
            </w:pPr>
            <w:r>
              <w:rPr>
                <w:b/>
              </w:rPr>
              <w:t>Exercise Price per Share:</w:t>
            </w:r>
          </w:p>
        </w:tc>
        <w:tc>
          <w:tcPr>
            <w:tcW w:w="121"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283"/>
              <w:jc w:val="left"/>
              <w:rPr/>
            </w:pPr>
            <w:r>
              <w:rPr/>
              <w:t>«ExercisePriceShare»</w:t>
            </w:r>
          </w:p>
        </w:tc>
      </w:tr>
      <w:tr>
        <w:trPr>
          <w:trHeight w:val="120" w:hRule="atLeast"/>
        </w:trPr>
        <w:tc>
          <w:tcPr>
            <w:tcW w:w="3003" w:type="dxa"/>
            <w:tcBorders/>
            <w:vAlign w:val="center"/>
          </w:tcPr>
          <w:p>
            <w:pPr>
              <w:pStyle w:val="TableContents"/>
              <w:bidi w:val="0"/>
              <w:spacing w:before="0" w:after="283"/>
              <w:jc w:val="left"/>
              <w:rPr>
                <w:sz w:val="4"/>
                <w:szCs w:val="4"/>
              </w:rPr>
            </w:pPr>
            <w:r>
              <w:rPr>
                <w:sz w:val="4"/>
                <w:szCs w:val="4"/>
              </w:rPr>
            </w:r>
          </w:p>
        </w:tc>
        <w:tc>
          <w:tcPr>
            <w:tcW w:w="7202" w:type="dxa"/>
            <w:gridSpan w:val="2"/>
            <w:tcBorders/>
            <w:vAlign w:val="center"/>
          </w:tcPr>
          <w:p>
            <w:pPr>
              <w:pStyle w:val="TableContents"/>
              <w:bidi w:val="0"/>
              <w:spacing w:before="0" w:after="283"/>
              <w:jc w:val="left"/>
              <w:rPr>
                <w:sz w:val="4"/>
                <w:szCs w:val="4"/>
              </w:rPr>
            </w:pPr>
            <w:r>
              <w:rPr>
                <w:sz w:val="4"/>
                <w:szCs w:val="4"/>
              </w:rPr>
            </w:r>
          </w:p>
        </w:tc>
      </w:tr>
      <w:tr>
        <w:trPr/>
        <w:tc>
          <w:tcPr>
            <w:tcW w:w="3003" w:type="dxa"/>
            <w:tcBorders/>
          </w:tcPr>
          <w:p>
            <w:pPr>
              <w:pStyle w:val="TableContents"/>
              <w:bidi w:val="0"/>
              <w:spacing w:before="0" w:after="283"/>
              <w:jc w:val="left"/>
              <w:rPr>
                <w:b/>
              </w:rPr>
            </w:pPr>
            <w:r>
              <w:rPr>
                <w:b/>
              </w:rPr>
              <w:t>Total Number of Shares:</w:t>
            </w:r>
          </w:p>
        </w:tc>
        <w:tc>
          <w:tcPr>
            <w:tcW w:w="121"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283"/>
              <w:jc w:val="left"/>
              <w:rPr/>
            </w:pPr>
            <w:r>
              <w:rPr/>
              <w:t>«No_ofShares»</w:t>
            </w:r>
          </w:p>
        </w:tc>
      </w:tr>
      <w:tr>
        <w:trPr>
          <w:trHeight w:val="120" w:hRule="atLeast"/>
        </w:trPr>
        <w:tc>
          <w:tcPr>
            <w:tcW w:w="3003" w:type="dxa"/>
            <w:tcBorders/>
            <w:vAlign w:val="center"/>
          </w:tcPr>
          <w:p>
            <w:pPr>
              <w:pStyle w:val="TableContents"/>
              <w:bidi w:val="0"/>
              <w:spacing w:before="0" w:after="283"/>
              <w:jc w:val="left"/>
              <w:rPr>
                <w:sz w:val="4"/>
                <w:szCs w:val="4"/>
              </w:rPr>
            </w:pPr>
            <w:r>
              <w:rPr>
                <w:sz w:val="4"/>
                <w:szCs w:val="4"/>
              </w:rPr>
            </w:r>
          </w:p>
        </w:tc>
        <w:tc>
          <w:tcPr>
            <w:tcW w:w="7202" w:type="dxa"/>
            <w:gridSpan w:val="2"/>
            <w:tcBorders/>
            <w:vAlign w:val="center"/>
          </w:tcPr>
          <w:p>
            <w:pPr>
              <w:pStyle w:val="TableContents"/>
              <w:bidi w:val="0"/>
              <w:spacing w:before="0" w:after="283"/>
              <w:jc w:val="left"/>
              <w:rPr>
                <w:sz w:val="4"/>
                <w:szCs w:val="4"/>
              </w:rPr>
            </w:pPr>
            <w:r>
              <w:rPr>
                <w:sz w:val="4"/>
                <w:szCs w:val="4"/>
              </w:rPr>
            </w:r>
          </w:p>
        </w:tc>
      </w:tr>
      <w:tr>
        <w:trPr/>
        <w:tc>
          <w:tcPr>
            <w:tcW w:w="3003" w:type="dxa"/>
            <w:tcBorders/>
          </w:tcPr>
          <w:p>
            <w:pPr>
              <w:pStyle w:val="TableContents"/>
              <w:bidi w:val="0"/>
              <w:spacing w:before="0" w:after="283"/>
              <w:jc w:val="left"/>
              <w:rPr>
                <w:b/>
              </w:rPr>
            </w:pPr>
            <w:r>
              <w:rPr>
                <w:b/>
              </w:rPr>
              <w:t>Type of Option:</w:t>
            </w:r>
          </w:p>
        </w:tc>
        <w:tc>
          <w:tcPr>
            <w:tcW w:w="121"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283"/>
              <w:jc w:val="left"/>
              <w:rPr/>
            </w:pPr>
            <w:r>
              <w:rPr/>
              <w:t>«Type_ofAward» Non-Qualified Stock Option</w:t>
            </w:r>
          </w:p>
        </w:tc>
      </w:tr>
      <w:tr>
        <w:trPr>
          <w:trHeight w:val="120" w:hRule="atLeast"/>
        </w:trPr>
        <w:tc>
          <w:tcPr>
            <w:tcW w:w="3003" w:type="dxa"/>
            <w:tcBorders/>
            <w:vAlign w:val="center"/>
          </w:tcPr>
          <w:p>
            <w:pPr>
              <w:pStyle w:val="TableContents"/>
              <w:bidi w:val="0"/>
              <w:spacing w:before="0" w:after="283"/>
              <w:jc w:val="left"/>
              <w:rPr>
                <w:sz w:val="4"/>
                <w:szCs w:val="4"/>
              </w:rPr>
            </w:pPr>
            <w:r>
              <w:rPr>
                <w:sz w:val="4"/>
                <w:szCs w:val="4"/>
              </w:rPr>
            </w:r>
          </w:p>
        </w:tc>
        <w:tc>
          <w:tcPr>
            <w:tcW w:w="7202" w:type="dxa"/>
            <w:gridSpan w:val="2"/>
            <w:tcBorders/>
            <w:vAlign w:val="center"/>
          </w:tcPr>
          <w:p>
            <w:pPr>
              <w:pStyle w:val="TableContents"/>
              <w:bidi w:val="0"/>
              <w:spacing w:before="0" w:after="283"/>
              <w:jc w:val="left"/>
              <w:rPr>
                <w:sz w:val="4"/>
                <w:szCs w:val="4"/>
              </w:rPr>
            </w:pPr>
            <w:r>
              <w:rPr>
                <w:sz w:val="4"/>
                <w:szCs w:val="4"/>
              </w:rPr>
            </w:r>
          </w:p>
        </w:tc>
      </w:tr>
      <w:tr>
        <w:trPr/>
        <w:tc>
          <w:tcPr>
            <w:tcW w:w="3003" w:type="dxa"/>
            <w:tcBorders/>
          </w:tcPr>
          <w:p>
            <w:pPr>
              <w:pStyle w:val="TableContents"/>
              <w:bidi w:val="0"/>
              <w:spacing w:before="0" w:after="283"/>
              <w:jc w:val="left"/>
              <w:rPr>
                <w:b/>
              </w:rPr>
            </w:pPr>
            <w:r>
              <w:rPr>
                <w:b/>
              </w:rPr>
              <w:t>Expiration Date:</w:t>
            </w:r>
          </w:p>
        </w:tc>
        <w:tc>
          <w:tcPr>
            <w:tcW w:w="121"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283"/>
              <w:jc w:val="left"/>
              <w:rPr/>
            </w:pPr>
            <w:r>
              <w:rPr/>
              <w:t>«Expiration_Date»; the Option expires earlier if Participant’s Service terminates earlier, as described in the Option Agreement.</w:t>
            </w:r>
          </w:p>
        </w:tc>
      </w:tr>
      <w:tr>
        <w:trPr>
          <w:trHeight w:val="120" w:hRule="atLeast"/>
        </w:trPr>
        <w:tc>
          <w:tcPr>
            <w:tcW w:w="3003" w:type="dxa"/>
            <w:tcBorders/>
            <w:vAlign w:val="center"/>
          </w:tcPr>
          <w:p>
            <w:pPr>
              <w:pStyle w:val="TableContents"/>
              <w:bidi w:val="0"/>
              <w:spacing w:before="0" w:after="283"/>
              <w:jc w:val="left"/>
              <w:rPr>
                <w:sz w:val="4"/>
                <w:szCs w:val="4"/>
              </w:rPr>
            </w:pPr>
            <w:r>
              <w:rPr>
                <w:sz w:val="4"/>
                <w:szCs w:val="4"/>
              </w:rPr>
            </w:r>
          </w:p>
        </w:tc>
        <w:tc>
          <w:tcPr>
            <w:tcW w:w="7202" w:type="dxa"/>
            <w:gridSpan w:val="2"/>
            <w:tcBorders/>
            <w:vAlign w:val="center"/>
          </w:tcPr>
          <w:p>
            <w:pPr>
              <w:pStyle w:val="TableContents"/>
              <w:bidi w:val="0"/>
              <w:spacing w:before="0" w:after="283"/>
              <w:jc w:val="left"/>
              <w:rPr>
                <w:sz w:val="4"/>
                <w:szCs w:val="4"/>
              </w:rPr>
            </w:pPr>
            <w:r>
              <w:rPr>
                <w:sz w:val="4"/>
                <w:szCs w:val="4"/>
              </w:rPr>
            </w:r>
          </w:p>
        </w:tc>
      </w:tr>
      <w:tr>
        <w:trPr/>
        <w:tc>
          <w:tcPr>
            <w:tcW w:w="3003" w:type="dxa"/>
            <w:tcBorders/>
          </w:tcPr>
          <w:p>
            <w:pPr>
              <w:pStyle w:val="TableContents"/>
              <w:bidi w:val="0"/>
              <w:spacing w:before="0" w:after="283"/>
              <w:jc w:val="left"/>
              <w:rPr>
                <w:b/>
              </w:rPr>
            </w:pPr>
            <w:r>
              <w:rPr>
                <w:b/>
              </w:rPr>
              <w:t>Vesting Schedule:</w:t>
            </w:r>
          </w:p>
        </w:tc>
        <w:tc>
          <w:tcPr>
            <w:tcW w:w="121"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283"/>
              <w:jc w:val="left"/>
              <w:rPr/>
            </w:pPr>
            <w:r>
              <w:rPr/>
              <w:t>Subject to the limitations set forth in this Notice, the Plan, and the Agreement, the Option will vest in accordance with the following schedule: «VestingSchedule»</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accepting (whether in writing, electronically, or otherwise) the Option, Participant acknowledges and agrees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understands that Participant’s Service with the Company or a Parent, Subsidiary, or Affiliate is for an unspecified duration, can be terminated at any time (i.e., is “at-will”) except where otherwise prohibited by applicable law, and that nothing in this Notice, the Option Agreement, or the Plan changes the nature of that relationship. Participant acknowledges that the vesting of the Option pursuant to this Notice is subject to Participant’s continuing Service. Participant agrees and acknowledges that the Vesting Schedule may change prospectively in the event that Participant’s Service status changes between full- and part-time and/or in the event the Participant is on a leave of absence, in accordance with Company policies relating to work schedules and vesting of Awards or as determined by the Committee. Furthermore, the period during which Participant may exercise the Option after termination of Service, if any, will commence on the Termination Date (as defined in the Option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grant is made under and governed by the Plan, the Agreement, and this Notice, and this Notice is subject to the terms and conditions of the Agreement and the Plan, both of which are incorporated herein by reference. Participant has read the Notice, the Option Agreement and,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has read the Company’s Insider Trading Policy, and agrees to comply with such policy, as it may be amended from time to time, whenever Participant acquires or disposes of the Company’s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accepting the Option, Participant consents to electronic delivery and participation as set forth in the Option Agreement.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25"/>
        <w:gridCol w:w="167"/>
        <w:gridCol w:w="3325"/>
        <w:gridCol w:w="167"/>
        <w:gridCol w:w="458"/>
        <w:gridCol w:w="167"/>
        <w:gridCol w:w="1296"/>
        <w:gridCol w:w="498"/>
        <w:gridCol w:w="2602"/>
      </w:tblGrid>
      <w:tr>
        <w:trPr/>
        <w:tc>
          <w:tcPr>
            <w:tcW w:w="152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332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r>
      <w:tr>
        <w:trPr/>
        <w:tc>
          <w:tcPr>
            <w:tcW w:w="5017" w:type="dxa"/>
            <w:gridSpan w:val="3"/>
            <w:tcBorders/>
          </w:tcPr>
          <w:p>
            <w:pPr>
              <w:pStyle w:val="TableContents"/>
              <w:bidi w:val="0"/>
              <w:spacing w:before="0" w:after="283"/>
              <w:jc w:val="left"/>
              <w:rPr>
                <w:b/>
              </w:rPr>
            </w:pPr>
            <w:r>
              <w:rPr>
                <w:b/>
              </w:rPr>
              <w:t>PARTICIPANT</w:t>
            </w:r>
          </w:p>
        </w:tc>
        <w:tc>
          <w:tcPr>
            <w:tcW w:w="167" w:type="dxa"/>
            <w:tcBorders/>
            <w:vAlign w:val="bottom"/>
          </w:tcPr>
          <w:p>
            <w:pPr>
              <w:pStyle w:val="TableContents"/>
              <w:bidi w:val="0"/>
              <w:spacing w:before="0" w:after="283"/>
              <w:jc w:val="left"/>
              <w:rPr/>
            </w:pPr>
            <w:r>
              <w:rPr/>
              <w:t>  </w:t>
            </w:r>
          </w:p>
        </w:tc>
        <w:tc>
          <w:tcPr>
            <w:tcW w:w="458" w:type="dxa"/>
            <w:tcBorders/>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4396" w:type="dxa"/>
            <w:gridSpan w:val="3"/>
            <w:tcBorders/>
          </w:tcPr>
          <w:p>
            <w:pPr>
              <w:pStyle w:val="TableContents"/>
              <w:bidi w:val="0"/>
              <w:spacing w:before="0" w:after="283"/>
              <w:jc w:val="left"/>
              <w:rPr>
                <w:b/>
              </w:rPr>
            </w:pPr>
            <w:r>
              <w:rPr>
                <w:b/>
              </w:rPr>
              <w:t>STOKE THERAPEUTICS, INC.</w:t>
            </w:r>
          </w:p>
        </w:tc>
      </w:tr>
      <w:tr>
        <w:trPr>
          <w:trHeight w:val="240" w:hRule="atLeast"/>
        </w:trPr>
        <w:tc>
          <w:tcPr>
            <w:tcW w:w="1525" w:type="dxa"/>
            <w:tcBorders/>
            <w:vAlign w:val="center"/>
          </w:tcPr>
          <w:p>
            <w:pPr>
              <w:pStyle w:val="TableContents"/>
              <w:bidi w:val="0"/>
              <w:spacing w:before="0" w:after="283"/>
              <w:jc w:val="left"/>
              <w:rPr>
                <w:sz w:val="4"/>
                <w:szCs w:val="4"/>
              </w:rPr>
            </w:pPr>
            <w:r>
              <w:rPr>
                <w:sz w:val="4"/>
                <w:szCs w:val="4"/>
              </w:rPr>
            </w:r>
          </w:p>
        </w:tc>
        <w:tc>
          <w:tcPr>
            <w:tcW w:w="3492" w:type="dxa"/>
            <w:gridSpan w:val="2"/>
            <w:tcBorders/>
            <w:vAlign w:val="center"/>
          </w:tcPr>
          <w:p>
            <w:pPr>
              <w:pStyle w:val="TableContents"/>
              <w:bidi w:val="0"/>
              <w:spacing w:before="0" w:after="283"/>
              <w:jc w:val="left"/>
              <w:rPr>
                <w:sz w:val="4"/>
                <w:szCs w:val="4"/>
              </w:rPr>
            </w:pPr>
            <w:r>
              <w:rPr>
                <w:sz w:val="4"/>
                <w:szCs w:val="4"/>
              </w:rPr>
            </w:r>
          </w:p>
        </w:tc>
        <w:tc>
          <w:tcPr>
            <w:tcW w:w="625" w:type="dxa"/>
            <w:gridSpan w:val="2"/>
            <w:tcBorders/>
            <w:vAlign w:val="center"/>
          </w:tcPr>
          <w:p>
            <w:pPr>
              <w:pStyle w:val="TableContents"/>
              <w:bidi w:val="0"/>
              <w:spacing w:before="0" w:after="283"/>
              <w:jc w:val="left"/>
              <w:rPr>
                <w:sz w:val="4"/>
                <w:szCs w:val="4"/>
              </w:rPr>
            </w:pPr>
            <w:r>
              <w:rPr>
                <w:sz w:val="4"/>
                <w:szCs w:val="4"/>
              </w:rPr>
            </w:r>
          </w:p>
        </w:tc>
        <w:tc>
          <w:tcPr>
            <w:tcW w:w="1463" w:type="dxa"/>
            <w:gridSpan w:val="2"/>
            <w:tcBorders/>
            <w:vAlign w:val="center"/>
          </w:tcPr>
          <w:p>
            <w:pPr>
              <w:pStyle w:val="TableContents"/>
              <w:bidi w:val="0"/>
              <w:spacing w:before="0" w:after="283"/>
              <w:jc w:val="left"/>
              <w:rPr>
                <w:sz w:val="4"/>
                <w:szCs w:val="4"/>
              </w:rPr>
            </w:pPr>
            <w:r>
              <w:rPr>
                <w:sz w:val="4"/>
                <w:szCs w:val="4"/>
              </w:rPr>
            </w:r>
          </w:p>
        </w:tc>
        <w:tc>
          <w:tcPr>
            <w:tcW w:w="3100" w:type="dxa"/>
            <w:gridSpan w:val="2"/>
            <w:tcBorders/>
            <w:vAlign w:val="center"/>
          </w:tcPr>
          <w:p>
            <w:pPr>
              <w:pStyle w:val="TableContents"/>
              <w:bidi w:val="0"/>
              <w:spacing w:before="0" w:after="283"/>
              <w:jc w:val="left"/>
              <w:rPr>
                <w:sz w:val="4"/>
                <w:szCs w:val="4"/>
              </w:rPr>
            </w:pPr>
            <w:r>
              <w:rPr>
                <w:sz w:val="4"/>
                <w:szCs w:val="4"/>
              </w:rPr>
            </w:r>
          </w:p>
        </w:tc>
      </w:tr>
      <w:tr>
        <w:trPr/>
        <w:tc>
          <w:tcPr>
            <w:tcW w:w="1525" w:type="dxa"/>
            <w:tcBorders/>
          </w:tcPr>
          <w:p>
            <w:pPr>
              <w:pStyle w:val="TableContents"/>
              <w:bidi w:val="0"/>
              <w:spacing w:before="0" w:after="283"/>
              <w:jc w:val="left"/>
              <w:rPr/>
            </w:pPr>
            <w:r>
              <w:rPr/>
              <w:t>Signature:</w:t>
            </w:r>
          </w:p>
        </w:tc>
        <w:tc>
          <w:tcPr>
            <w:tcW w:w="167" w:type="dxa"/>
            <w:tcBorders>
              <w:bottom w:val="single" w:sz="2" w:space="0" w:color="000000"/>
            </w:tcBorders>
            <w:tcMar>
              <w:bottom w:w="28" w:type="dxa"/>
            </w:tcMar>
            <w:vAlign w:val="bottom"/>
          </w:tcPr>
          <w:p>
            <w:pPr>
              <w:pStyle w:val="TableContents"/>
              <w:bidi w:val="0"/>
              <w:spacing w:before="0" w:after="283"/>
              <w:jc w:val="left"/>
              <w:rPr/>
            </w:pPr>
            <w:r>
              <w:rPr/>
              <w:t>  </w:t>
            </w:r>
          </w:p>
        </w:tc>
        <w:tc>
          <w:tcPr>
            <w:tcW w:w="3325" w:type="dxa"/>
            <w:tcBorders>
              <w:bottom w:val="single" w:sz="2" w:space="0" w:color="000000"/>
            </w:tcBorders>
            <w:tcMar>
              <w:bottom w:w="28" w:type="dxa"/>
            </w:tcMa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458" w:type="dxa"/>
            <w:tcBorders/>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296" w:type="dxa"/>
            <w:tcBorders/>
          </w:tcPr>
          <w:p>
            <w:pPr>
              <w:pStyle w:val="TableContents"/>
              <w:bidi w:val="0"/>
              <w:spacing w:before="0" w:after="283"/>
              <w:jc w:val="left"/>
              <w:rPr/>
            </w:pPr>
            <w:r>
              <w:rPr/>
              <w:t>By:</w:t>
            </w:r>
          </w:p>
        </w:tc>
        <w:tc>
          <w:tcPr>
            <w:tcW w:w="498" w:type="dxa"/>
            <w:tcBorders>
              <w:bottom w:val="single" w:sz="2" w:space="0" w:color="000000"/>
            </w:tcBorders>
            <w:tcMar>
              <w:bottom w:w="28" w:type="dxa"/>
            </w:tcMar>
            <w:vAlign w:val="bottom"/>
          </w:tcPr>
          <w:p>
            <w:pPr>
              <w:pStyle w:val="TableContents"/>
              <w:bidi w:val="0"/>
              <w:spacing w:before="0" w:after="283"/>
              <w:jc w:val="left"/>
              <w:rPr/>
            </w:pPr>
            <w:r>
              <w:rPr/>
              <w:t>  </w:t>
            </w:r>
          </w:p>
        </w:tc>
        <w:tc>
          <w:tcPr>
            <w:tcW w:w="2602" w:type="dxa"/>
            <w:tcBorders>
              <w:bottom w:val="single" w:sz="2" w:space="0" w:color="000000"/>
            </w:tcBorders>
            <w:tcMar>
              <w:bottom w:w="28" w:type="dxa"/>
            </w:tcMar>
          </w:tcPr>
          <w:p>
            <w:pPr>
              <w:pStyle w:val="TableContents"/>
              <w:bidi w:val="0"/>
              <w:spacing w:before="0" w:after="283"/>
              <w:jc w:val="left"/>
              <w:rPr/>
            </w:pPr>
            <w:r>
              <w:rPr/>
              <w:t> </w:t>
            </w:r>
          </w:p>
        </w:tc>
      </w:tr>
      <w:tr>
        <w:trPr/>
        <w:tc>
          <w:tcPr>
            <w:tcW w:w="1525" w:type="dxa"/>
            <w:tcBorders/>
          </w:tcPr>
          <w:p>
            <w:pPr>
              <w:pStyle w:val="TableContents"/>
              <w:bidi w:val="0"/>
              <w:spacing w:before="0" w:after="283"/>
              <w:jc w:val="left"/>
              <w:rPr/>
            </w:pPr>
            <w:r>
              <w:rPr/>
              <w:t>Print Name:</w:t>
            </w:r>
          </w:p>
        </w:tc>
        <w:tc>
          <w:tcPr>
            <w:tcW w:w="167"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«Optionee»</w:t>
            </w:r>
          </w:p>
        </w:tc>
        <w:tc>
          <w:tcPr>
            <w:tcW w:w="167" w:type="dxa"/>
            <w:tcBorders/>
            <w:vAlign w:val="bottom"/>
          </w:tcPr>
          <w:p>
            <w:pPr>
              <w:pStyle w:val="TableContents"/>
              <w:bidi w:val="0"/>
              <w:spacing w:before="0" w:after="283"/>
              <w:jc w:val="left"/>
              <w:rPr/>
            </w:pPr>
            <w:r>
              <w:rPr/>
              <w:t>  </w:t>
            </w:r>
          </w:p>
        </w:tc>
        <w:tc>
          <w:tcPr>
            <w:tcW w:w="458" w:type="dxa"/>
            <w:tcBorders/>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296" w:type="dxa"/>
            <w:tcBorders/>
          </w:tcPr>
          <w:p>
            <w:pPr>
              <w:pStyle w:val="TableContents"/>
              <w:bidi w:val="0"/>
              <w:spacing w:before="0" w:after="283"/>
              <w:jc w:val="left"/>
              <w:rPr/>
            </w:pPr>
            <w:r>
              <w:rPr/>
              <w:t>Its:</w:t>
            </w:r>
          </w:p>
        </w:tc>
        <w:tc>
          <w:tcPr>
            <w:tcW w:w="498" w:type="dxa"/>
            <w:tcBorders>
              <w:bottom w:val="single" w:sz="2" w:space="0" w:color="000000"/>
            </w:tcBorders>
            <w:tcMar>
              <w:bottom w:w="28" w:type="dxa"/>
            </w:tcMar>
            <w:vAlign w:val="bottom"/>
          </w:tcPr>
          <w:p>
            <w:pPr>
              <w:pStyle w:val="TableContents"/>
              <w:bidi w:val="0"/>
              <w:spacing w:before="0" w:after="283"/>
              <w:jc w:val="left"/>
              <w:rPr/>
            </w:pPr>
            <w:r>
              <w:rPr/>
              <w:t>  </w:t>
            </w:r>
          </w:p>
        </w:tc>
        <w:tc>
          <w:tcPr>
            <w:tcW w:w="2602" w:type="dxa"/>
            <w:tcBorders>
              <w:bottom w:val="single" w:sz="2" w:space="0" w:color="000000"/>
            </w:tcBorders>
            <w:tcMar>
              <w:bottom w:w="28"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STOKE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2023 INDUCEMENT PLAN </w:t>
      </w:r>
    </w:p>
    <w:p>
      <w:pPr>
        <w:pStyle w:val="TextBody"/>
        <w:bidi w:val="0"/>
        <w:spacing w:before="0" w:after="0"/>
        <w:jc w:val="center"/>
        <w:rPr>
          <w:rFonts w:ascii="Times New Roman" w:hAnsi="Times New Roman"/>
          <w:b/>
          <w:sz w:val="20"/>
        </w:rPr>
      </w:pPr>
      <w:r>
        <w:rPr>
          <w:rFonts w:ascii="Times New Roman" w:hAnsi="Times New Roman"/>
          <w:b/>
          <w:sz w:val="20"/>
        </w:rPr>
        <w:t xml:space="preserve">STOCK OPTION AWARD AGREEMENT </w:t>
      </w:r>
    </w:p>
    <w:p>
      <w:pPr>
        <w:pStyle w:val="TextBody"/>
        <w:bidi w:val="0"/>
        <w:spacing w:before="240" w:after="0"/>
        <w:jc w:val="left"/>
        <w:rPr>
          <w:rFonts w:ascii="Times New Roman" w:hAnsi="Times New Roman"/>
          <w:sz w:val="20"/>
        </w:rPr>
      </w:pPr>
      <w:r>
        <w:rPr>
          <w:rFonts w:ascii="Times New Roman" w:hAnsi="Times New Roman"/>
          <w:sz w:val="20"/>
        </w:rPr>
        <w:t>Unless otherwise defined in this Stock Option Award Agreement (this “</w:t>
      </w:r>
      <w:r>
        <w:rPr>
          <w:rFonts w:ascii="Times New Roman" w:hAnsi="Times New Roman"/>
          <w:b/>
          <w:i/>
          <w:sz w:val="20"/>
        </w:rPr>
        <w:t>Option Agreement</w:t>
      </w:r>
      <w:r>
        <w:rPr>
          <w:rFonts w:ascii="Times New Roman" w:hAnsi="Times New Roman"/>
          <w:sz w:val="20"/>
        </w:rPr>
        <w:t>”), any capitalized terms used herein will have the same meaning ascribed to them in the Stoke Therapeutics, Inc. 2023 Inducement Plan (the “</w:t>
      </w:r>
      <w:r>
        <w:rPr>
          <w:rFonts w:ascii="Times New Roman" w:hAnsi="Times New Roman"/>
          <w:b/>
          <w:i/>
          <w:sz w:val="20"/>
        </w:rPr>
        <w:t>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Participant has been granted an option to purchase Shares (the “</w:t>
      </w:r>
      <w:r>
        <w:rPr>
          <w:rFonts w:ascii="Times New Roman" w:hAnsi="Times New Roman"/>
          <w:b/>
          <w:i/>
          <w:sz w:val="20"/>
        </w:rPr>
        <w:t>Option</w:t>
      </w:r>
      <w:r>
        <w:rPr>
          <w:rFonts w:ascii="Times New Roman" w:hAnsi="Times New Roman"/>
          <w:sz w:val="20"/>
        </w:rPr>
        <w:t>”) of Stoke Therapeutics, Inc. (the “</w:t>
      </w:r>
      <w:r>
        <w:rPr>
          <w:rFonts w:ascii="Times New Roman" w:hAnsi="Times New Roman"/>
          <w:b/>
          <w:i/>
          <w:sz w:val="20"/>
        </w:rPr>
        <w:t>Company</w:t>
      </w:r>
      <w:r>
        <w:rPr>
          <w:rFonts w:ascii="Times New Roman" w:hAnsi="Times New Roman"/>
          <w:sz w:val="20"/>
        </w:rPr>
        <w:t>”), subject to the terms, restrictions, and conditions of the Plan, the Notice of Stock Option Grant (the “</w:t>
      </w:r>
      <w:r>
        <w:rPr>
          <w:rFonts w:ascii="Times New Roman" w:hAnsi="Times New Roman"/>
          <w:b/>
          <w:i/>
          <w:sz w:val="20"/>
        </w:rPr>
        <w:t>Notice</w:t>
      </w:r>
      <w:r>
        <w:rPr>
          <w:rFonts w:ascii="Times New Roman" w:hAnsi="Times New Roman"/>
          <w:sz w:val="20"/>
        </w:rPr>
        <w:t>”), and this Option Agreement, including any applicable country-specific provisions in any appendix attached hereto (the “</w:t>
      </w:r>
      <w:r>
        <w:rPr>
          <w:rFonts w:ascii="Times New Roman" w:hAnsi="Times New Roman"/>
          <w:b/>
          <w:i/>
          <w:sz w:val="20"/>
        </w:rPr>
        <w:t>Appendix</w:t>
      </w:r>
      <w:r>
        <w:rPr>
          <w:rFonts w:ascii="Times New Roman" w:hAnsi="Times New Roman"/>
          <w:sz w:val="20"/>
        </w:rPr>
        <w:t xml:space="preserve">”), which constitutes part of this Option Agreement. In the event of a conflict between the terms and conditions of the Plan and the terms and conditions of the Notice or this Option Agreement, the terms and conditions of the Plan will prevail.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u w:val="single"/>
        </w:rPr>
        <w:t>Vesting Rights</w:t>
      </w:r>
      <w:r>
        <w:rPr>
          <w:rFonts w:ascii="Times New Roman" w:hAnsi="Times New Roman"/>
          <w:b/>
          <w:sz w:val="20"/>
        </w:rPr>
        <w:t>.</w:t>
      </w:r>
      <w:r>
        <w:rPr>
          <w:rFonts w:ascii="Times New Roman" w:hAnsi="Times New Roman"/>
          <w:sz w:val="20"/>
        </w:rPr>
        <w:t xml:space="preserve"> Subject to the applicable provisions of the Plan and this Option Agreement, the Option may be exercised, in whole or in part, in accordance with the Vesting Schedule set forth in the Notice. Participant acknowledges and agrees that the Vesting Schedule may change prospectively in the event Participant’s Service status changes between full and part-time and/or in the event Participant is on a leave of absence, in accordance with Company policies relating to work schedules and vesting of Awards or as determined by the Committee. Participant acknowledges that the vesting of the Option pursuant to this Notice and Agreement is subject to Participant’s continuing Service as an Employee.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u w:val="single"/>
        </w:rPr>
        <w:t>Grant of Option</w:t>
      </w:r>
      <w:r>
        <w:rPr>
          <w:rFonts w:ascii="Times New Roman" w:hAnsi="Times New Roman"/>
          <w:b/>
          <w:sz w:val="20"/>
        </w:rPr>
        <w:t>.</w:t>
      </w:r>
      <w:r>
        <w:rPr>
          <w:rFonts w:ascii="Times New Roman" w:hAnsi="Times New Roman"/>
          <w:sz w:val="20"/>
        </w:rPr>
        <w:t xml:space="preserve"> Participant has been granted an Option for the number of Shares set forth in the Notice at the exercise price per Share in U.S. Dollars set forth in the Notice (the “</w:t>
      </w:r>
      <w:r>
        <w:rPr>
          <w:rFonts w:ascii="Times New Roman" w:hAnsi="Times New Roman"/>
          <w:b/>
          <w:i/>
          <w:sz w:val="20"/>
        </w:rPr>
        <w:t>Exercise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Termination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 Rule</w:t>
      </w:r>
      <w:r>
        <w:rPr>
          <w:rFonts w:ascii="Times New Roman" w:hAnsi="Times New Roman"/>
          <w:sz w:val="20"/>
        </w:rPr>
        <w:t xml:space="preserve">. If Participant’s Service terminates for any reason except death or Disability, and other than for Cause, then the Option will expire at the close of business at Company headquarters on the date three (3) months after Participant’s Termination Date (as defined below) (or such shorter time period not less than thirty (30) days or longer time period as may be determined by the Committee). The Company determines when Participant’s Service terminates for all purposes under this Option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Death; Disability</w:t>
      </w:r>
      <w:r>
        <w:rPr>
          <w:rFonts w:ascii="Times New Roman" w:hAnsi="Times New Roman"/>
          <w:sz w:val="20"/>
        </w:rPr>
        <w:t xml:space="preserve">. If Participant dies before Participant’s Service terminates (or Participant dies within three (3) months of Participant’s termination of Service other than for Cause), then the Option will expire at the close of business at Company headquarters on the date twelve (12) months after the date of death (or such shorter time period not less than six (6) months or longer time period as may be determined by the Committee, subject to the expiration details in Section 7). If Participant’s Service terminates because of Participant’s Disability, then the Option will expire at the close of business at Company headquarters on the date twelve (12) months after Participant’s Termination Date (or such shorter time period not less than six (6) months or longer time period as may be determined by the Committee, subject to the expiration details in Section 7).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Cause</w:t>
      </w:r>
      <w:r>
        <w:rPr>
          <w:rFonts w:ascii="Times New Roman" w:hAnsi="Times New Roman"/>
          <w:sz w:val="20"/>
        </w:rPr>
        <w:t xml:space="preserve">. Unless otherwise determined by the Committee, the Option (whether or not vested) will terminate immediately upon the Participant’s cessation of Services if the Company reasonably determines in good faith that such cessation of Services has resulted in connection with an act or failure to act constituting Cause (or the Participant’s Services could have been terminated for Cause (without regard to the lapsing of any required notice or cure periods in connection therewith) at the time the Participant terminated Services).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Notification of Exercise Periods</w:t>
      </w:r>
      <w:r>
        <w:rPr>
          <w:rFonts w:ascii="Times New Roman" w:hAnsi="Times New Roman"/>
          <w:sz w:val="20"/>
        </w:rPr>
        <w:t xml:space="preserve">. Participant is responsible for keeping track of these exercise periods following Participant’s termination of Service for any reason. The Company will not provide further notice of such periods. In no event will the Option be exercised later than the Expiration Date set forth in the Notice.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Termination</w:t>
      </w:r>
      <w:r>
        <w:rPr>
          <w:rFonts w:ascii="Times New Roman" w:hAnsi="Times New Roman"/>
          <w:sz w:val="20"/>
        </w:rPr>
        <w:t>. For purposes of this Option, Participant’s Service will be considered terminated as of the date Participant is no longer providing Services to the Company, its Parent or one of its Subsidiaries or Affiliates (regardless of the reason for such termination and whether or not later found to be invalid or in breach of employment laws in the jurisdiction where Participant is employed or the terms of Participant’s employment agreement, if any) (the “</w:t>
      </w:r>
      <w:r>
        <w:rPr>
          <w:rFonts w:ascii="Times New Roman" w:hAnsi="Times New Roman"/>
          <w:b/>
          <w:i/>
          <w:sz w:val="20"/>
        </w:rPr>
        <w:t>Termination Date</w:t>
      </w:r>
      <w:r>
        <w:rPr>
          <w:rFonts w:ascii="Times New Roman" w:hAnsi="Times New Roman"/>
          <w:sz w:val="20"/>
        </w:rPr>
        <w:t>”). The Committee will have the exclusive discretion to determine when Participant is no longer actively providing Services for purposes of Participant’s Option (including whether Participant may still be considered to be providing services while on an approved leave of absence). Unless otherwise provided in this Option Agreement or determined by the Company, Participant’s right to vest in this Option under the Plan, if any, will terminate as of the Termination Date and will not be extended by any notice period (</w:t>
      </w:r>
      <w:r>
        <w:rPr>
          <w:rFonts w:ascii="Times New Roman" w:hAnsi="Times New Roman"/>
          <w:i/>
          <w:sz w:val="20"/>
        </w:rPr>
        <w:t>e.g.</w:t>
      </w:r>
      <w:r>
        <w:rPr>
          <w:rFonts w:ascii="Times New Roman" w:hAnsi="Times New Roman"/>
          <w:sz w:val="20"/>
        </w:rPr>
        <w:t xml:space="preserve">, Participant’s period of services would not include any contractual notice period or any period of “garden leave” or similar period mandated under employment laws in the jurisdiction where Participant is employed or the terms of Participant’s employment agreement, if any). Following the Termination Date, Participant may exercise the Option only as set forth in the Notice and this Section, provided that the period (if any) during which Participant may exercise the Option after the Termination Date, if any, will commence on the date Participant ceases to provide services and will not be extended by any notice period mandated under employment laws in the jurisdiction where Participant is employed or terms of Participant’s employment agreement, if any. If Participant does not exercise this Option within the termination period set forth in the Notice or the termination periods set forth above, the Option will terminate in its entirety. In no event, may any Option be exercised after the Expiration Date of the Option as set forth in the Notice.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u w:val="single"/>
        </w:rPr>
        <w:t>Exercise of Option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Right to Exercise</w:t>
      </w:r>
      <w:r>
        <w:rPr>
          <w:rFonts w:ascii="Times New Roman" w:hAnsi="Times New Roman"/>
          <w:sz w:val="20"/>
        </w:rPr>
        <w:t xml:space="preserve">. The Option is exercisable during its term in accordance with the Vesting Schedule set forth in the Notice and the applicable provisions of the Plan and this Option Agreement. In the event of Participant’s death, Disability, termination for Cause, or other cessation of Service, the exercisability of the Option is governed by the applicable provisions of the Plan, the Notice, and this Option Agreement. The Option may not be exercised for a fraction of a Share.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Method of Exercise</w:t>
      </w:r>
      <w:r>
        <w:rPr>
          <w:rFonts w:ascii="Times New Roman" w:hAnsi="Times New Roman"/>
          <w:sz w:val="20"/>
        </w:rPr>
        <w:t>. The Option is exercisable by delivery of an exercise notice in a form specified by the Company (the “</w:t>
      </w:r>
      <w:r>
        <w:rPr>
          <w:rFonts w:ascii="Times New Roman" w:hAnsi="Times New Roman"/>
          <w:b/>
          <w:i/>
          <w:sz w:val="20"/>
        </w:rPr>
        <w:t>Exercise Notice</w:t>
      </w:r>
      <w:r>
        <w:rPr>
          <w:rFonts w:ascii="Times New Roman" w:hAnsi="Times New Roman"/>
          <w:sz w:val="20"/>
        </w:rPr>
        <w:t>”), which will state the election to exercise the Option, the number of Shares in respect of which the Option is being exercised (the “</w:t>
      </w:r>
      <w:r>
        <w:rPr>
          <w:rFonts w:ascii="Times New Roman" w:hAnsi="Times New Roman"/>
          <w:b/>
          <w:i/>
          <w:sz w:val="20"/>
        </w:rPr>
        <w:t>Exercised Shares</w:t>
      </w:r>
      <w:r>
        <w:rPr>
          <w:rFonts w:ascii="Times New Roman" w:hAnsi="Times New Roman"/>
          <w:sz w:val="20"/>
        </w:rPr>
        <w:t xml:space="preserve">”), and such other representations and agreements as may be required by the Company pursuant to the provisions of the Plan. The Exercise Notice will be delivered in person, by mail, via electronic mail or facsimile or by other authorized method to the Secretary of the Company or other person designated by the Company. The Exercise Notice will be accompanied by payment of the aggregate Exercise Price as to all Exercised Shares together with any applicable Tax-Related Items (as defined in Section 8 below). The Option will be deemed to be exercised upon receipt by the Company of such fully executed Exercise Notice accompanied by such aggregate Exercise Price and payment of any applicable Tax-Related Items. No Shares will be issued pursuant to the exercise of the Option unless such issuance and exercise complies with all relevant provisions of law and the requirements of any stock exchange or quotation service upon which the Shares are then listed. Assuming such compliance, for United States income tax purposes the Exercised Shares will be considered transferred to Participant on the date the Option is exercised with respect to such Exercised Shares.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Exercise by Another</w:t>
      </w:r>
      <w:r>
        <w:rPr>
          <w:rFonts w:ascii="Times New Roman" w:hAnsi="Times New Roman"/>
          <w:sz w:val="20"/>
        </w:rPr>
        <w:t xml:space="preserve">. If another person wants to exercise the Option after it has been transferred to him or her in compliance with this Option Agreement, that person must prove to the Company’s satisfaction that he or she is entitled to exercise the Option. That person must also complete the proper Exercise Notice form (as described above) and pay the Exercise Price (as described below) and any applicable Tax-Related Items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b/>
          <w:sz w:val="20"/>
          <w:u w:val="single"/>
        </w:rPr>
        <w:t>Method of Payment</w:t>
      </w:r>
      <w:r>
        <w:rPr>
          <w:rFonts w:ascii="Times New Roman" w:hAnsi="Times New Roman"/>
          <w:b/>
          <w:sz w:val="20"/>
        </w:rPr>
        <w:t>.</w:t>
      </w:r>
      <w:r>
        <w:rPr>
          <w:rFonts w:ascii="Times New Roman" w:hAnsi="Times New Roman"/>
          <w:sz w:val="20"/>
        </w:rPr>
        <w:t xml:space="preserve"> Payment of the aggregate Exercise Price will be by any of the following, or a combination thereof, at the election of Participant: </w:t>
      </w:r>
    </w:p>
    <w:p>
      <w:pPr>
        <w:pStyle w:val="TextBody"/>
        <w:bidi w:val="0"/>
        <w:spacing w:before="120" w:after="0"/>
        <w:jc w:val="left"/>
        <w:rPr>
          <w:rFonts w:ascii="Times New Roman" w:hAnsi="Times New Roman"/>
          <w:sz w:val="20"/>
        </w:rPr>
      </w:pPr>
      <w:r>
        <w:rPr>
          <w:rFonts w:ascii="Times New Roman" w:hAnsi="Times New Roman"/>
          <w:sz w:val="20"/>
        </w:rPr>
        <w:t xml:space="preserve">(a) Participant’s personal check (or readily available funds), wire transfer, or a cashier’s check;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certificates for shares of Company stock that Participant owns, along with any forms needed to effect a transfer of those shares to the Company; the value of the shares, determined as of the effective date of the Option exercise, will be applied to the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this Option for financial reporting purposes; </w:t>
      </w:r>
    </w:p>
    <w:p>
      <w:pPr>
        <w:pStyle w:val="TextBody"/>
        <w:bidi w:val="0"/>
        <w:spacing w:before="240" w:after="0"/>
        <w:jc w:val="left"/>
        <w:rPr>
          <w:rFonts w:ascii="Times New Roman" w:hAnsi="Times New Roman"/>
          <w:sz w:val="20"/>
        </w:rPr>
      </w:pPr>
      <w:r>
        <w:rPr>
          <w:rFonts w:ascii="Times New Roman" w:hAnsi="Times New Roman"/>
          <w:sz w:val="20"/>
        </w:rPr>
        <w:t xml:space="preserve">(c) cashless exercise through irrevocable directions to a securities broker approved by the Company to sell all or part of the Shares covered by the Option and to deliver to the Company from the sale proceeds an amount sufficient to pay the Exercise Price and any applicable Tax-Related Items. The balance of the sale proceeds, if any, will be delivered to Participant. The directions must be given by signing a special notice of exercise form provided by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(d) other method authorized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provided, however, that the Company may restrict the available methods of payment due to facilitate compliance with applicable law or administration of the Plan. In particular, if Participant is located outside the United States, Participant should review the applicable provisions of the Appendix for any such restrictions that may currently apply.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b/>
          <w:sz w:val="20"/>
          <w:u w:val="single"/>
        </w:rPr>
        <w:t>Non-Transferability of Option</w:t>
      </w:r>
      <w:r>
        <w:rPr>
          <w:rFonts w:ascii="Times New Roman" w:hAnsi="Times New Roman"/>
          <w:b/>
          <w:sz w:val="20"/>
        </w:rPr>
        <w:t>.</w:t>
      </w:r>
      <w:r>
        <w:rPr>
          <w:rFonts w:ascii="Times New Roman" w:hAnsi="Times New Roman"/>
          <w:sz w:val="20"/>
        </w:rPr>
        <w:t xml:space="preserve"> The Option may not be sold, assigned, transferred, pledged, hypothecated, or otherwise disposed of other than by will or by the laws of descent or distribution or court order and may be exercised during the lifetime of Participant only by Participant or unless otherwise permitted by the Committee on a case-by-case basis. The terms of the Plan and this Option Agreement will be binding upon the executors, administrators, heirs, successors, and assigns of Participant.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b/>
          <w:sz w:val="20"/>
          <w:u w:val="single"/>
        </w:rPr>
        <w:t>Term of Option</w:t>
      </w:r>
      <w:r>
        <w:rPr>
          <w:rFonts w:ascii="Times New Roman" w:hAnsi="Times New Roman"/>
          <w:b/>
          <w:sz w:val="20"/>
        </w:rPr>
        <w:t>.</w:t>
      </w:r>
      <w:r>
        <w:rPr>
          <w:rFonts w:ascii="Times New Roman" w:hAnsi="Times New Roman"/>
          <w:sz w:val="20"/>
        </w:rPr>
        <w:t xml:space="preserve"> The Option will in any event expire on the expiration date set forth in the Notice, which date is ten (10) years after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b/>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Responsibility for Taxes</w:t>
      </w:r>
      <w:r>
        <w:rPr>
          <w:rFonts w:ascii="Times New Roman" w:hAnsi="Times New Roman"/>
          <w:sz w:val="20"/>
        </w:rPr>
        <w:t>. Participant acknowledges that, regardless of any action taken by the Company or, if different, a Parent, Subsidiary, or Affiliate employing or retaining Participant (the “</w:t>
      </w:r>
      <w:r>
        <w:rPr>
          <w:rFonts w:ascii="Times New Roman" w:hAnsi="Times New Roman"/>
          <w:b/>
          <w:i/>
          <w:sz w:val="20"/>
        </w:rPr>
        <w:t>Employer</w:t>
      </w:r>
      <w:r>
        <w:rPr>
          <w:rFonts w:ascii="Times New Roman" w:hAnsi="Times New Roman"/>
          <w:sz w:val="20"/>
        </w:rPr>
        <w:t>”), the ultimate liability for all income tax, social insurance, payroll tax, fringe benefits tax, payment on account, or other tax related items related to Participant’s participation in the Plan and legally applicable to Participant (“</w:t>
      </w:r>
      <w:r>
        <w:rPr>
          <w:rFonts w:ascii="Times New Roman" w:hAnsi="Times New Roman"/>
          <w:b/>
          <w:i/>
          <w:sz w:val="20"/>
        </w:rPr>
        <w:t>Tax-Related Items</w:t>
      </w:r>
      <w:r>
        <w:rPr>
          <w:rFonts w:ascii="Times New Roman" w:hAnsi="Times New Roman"/>
          <w:sz w:val="20"/>
        </w:rPr>
        <w:t xml:space="preserve">”)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this Option, including, but not limited to, the grant, vesting, or exercise of this Option; the subsequent sale of Shares acquired pursuant to such exercise; and the receipt of any dividends; and (ii) do not commit to and are under no obligation to structure the terms of the grant or any aspect of this Option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 </w:t>
      </w:r>
      <w:r>
        <w:rPr>
          <w:rFonts w:ascii="Times New Roman" w:hAnsi="Times New Roman"/>
          <w:i/>
          <w:sz w:val="20"/>
        </w:rPr>
        <w:t>PARTICIPANT SHOULD CONSULT A TAX ADVISER APPROPRIATELY QUALIFIED IN THE COUNTRY OR COUNTRIES IN WHICH PARTICIPANT RESIDES OR IS SUBJECT TO TAXATION.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Withholding</w:t>
      </w:r>
      <w:r>
        <w:rPr>
          <w:rFonts w:ascii="Times New Roman" w:hAnsi="Times New Roman"/>
          <w:sz w:val="20"/>
        </w:rPr>
        <w:t xml:space="preserve">. Prior to any relevant taxable or tax withholding event, as applicable, Participant agrees to make arrangements satisfactory to the Company and/or the Employer to satisfy all Tax-Related Items. In this regard, Participant authorizes the Company and/or the Employer, or their respective agents, at their discretion, to satisfy any withholding obligations for Tax-Related Items by one or a combination of the following, all under such rules as may be established by the Committee and in compliance with the Company’s Insider Trading Policy and 10b5-1 Trading Plan Policy,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withholding from Participant’s wages or other cash compensation paid to Participant by the Company and/or the Employer; or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withholding from proceeds of the sale of Shares acquired at exercise of this Option either through a voluntary sale or through a mandatory sale arranged by the Company (on Participant’s behalf pursuant to this authorization and without further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withholding Shares to be issued upon exercise of the Option, provided the Company only withholds the number of Shares necessary to satisfy no more than the maximum applicable statutory withholding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Participant’s payment of a cash amount (including by check representing readily available funds or a wire transfer);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arrangement approved by the Committee and permitted under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however, that if Participant is a Section 16 officer of the Company under the Exchange Act, then the Committee (as constituted in accordance with Rule 16b-3 of the Exchange Act) shall establish the method of withholding from alternatives (i) – (v) above prior to the Tax-Related Items withholding event. </w:t>
      </w:r>
    </w:p>
    <w:p>
      <w:pPr>
        <w:pStyle w:val="TextBody"/>
        <w:bidi w:val="0"/>
        <w:spacing w:before="240" w:after="0"/>
        <w:jc w:val="left"/>
        <w:rPr>
          <w:rFonts w:ascii="Times New Roman" w:hAnsi="Times New Roman"/>
          <w:sz w:val="20"/>
        </w:rPr>
      </w:pPr>
      <w:r>
        <w:rPr>
          <w:rFonts w:ascii="Times New Roman" w:hAnsi="Times New Roman"/>
          <w:sz w:val="20"/>
        </w:rPr>
        <w:t xml:space="preserve">Depending on the withholding method, the Company may withhold or account for Tax-Related Items by considering applicable statutory withholding rates or other applicable withholding rates, including up to the maximum permissible statutory rate for Participant’s tax jurisdiction(s) in which case Participant will have no entitlement to the equivalent amount in Shares and will receive a refund of any over-withheld amount in cash in accordance with applicable law. If the obligation for Tax-Related Items is satisfied by withholding in Shares, for tax purposes, Participant is deemed to have been issued the full number of Exercised Shares; notwithstanding that a number of the Shares are held back solely for the purpose of satisfying the withholding obligation for Tax-Related Items. </w:t>
      </w:r>
    </w:p>
    <w:p>
      <w:pPr>
        <w:pStyle w:val="TextBody"/>
        <w:bidi w:val="0"/>
        <w:spacing w:before="240" w:after="0"/>
        <w:jc w:val="left"/>
        <w:rPr>
          <w:rFonts w:ascii="Times New Roman" w:hAnsi="Times New Roman"/>
          <w:sz w:val="20"/>
        </w:rPr>
      </w:pPr>
      <w:r>
        <w:rPr>
          <w:rFonts w:ascii="Times New Roman" w:hAnsi="Times New Roman"/>
          <w:sz w:val="20"/>
        </w:rPr>
        <w:t xml:space="preserve">Finally, Participant agrees to pay to the Company and/or the Employer any amount of Tax-Related Items that the Company and/or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b/>
          <w:sz w:val="20"/>
          <w:u w:val="single"/>
        </w:rPr>
        <w:t>Nature of Grant</w:t>
      </w:r>
      <w:r>
        <w:rPr>
          <w:rFonts w:ascii="Times New Roman" w:hAnsi="Times New Roman"/>
          <w:b/>
          <w:sz w:val="20"/>
        </w:rPr>
        <w:t>.</w:t>
      </w:r>
      <w:r>
        <w:rPr>
          <w:rFonts w:ascii="Times New Roman" w:hAnsi="Times New Roman"/>
          <w:sz w:val="20"/>
        </w:rPr>
        <w:t xml:space="preserve"> By accepting the Option, Participant acknowledges, understands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the Plan is established voluntarily by the Company, it is discretionary in nature, and it may be modified, amended, suspended or terminated by the Company at any time, to the extent permitted by the Plan </w:t>
      </w:r>
    </w:p>
    <w:p>
      <w:pPr>
        <w:pStyle w:val="TextBody"/>
        <w:bidi w:val="0"/>
        <w:spacing w:before="240" w:after="0"/>
        <w:jc w:val="left"/>
        <w:rPr>
          <w:rFonts w:ascii="Times New Roman" w:hAnsi="Times New Roman"/>
          <w:sz w:val="20"/>
        </w:rPr>
      </w:pPr>
      <w:r>
        <w:rPr>
          <w:rFonts w:ascii="Times New Roman" w:hAnsi="Times New Roman"/>
          <w:sz w:val="20"/>
        </w:rPr>
        <w:t xml:space="preserve">(b) the grant of the Option is exceptional, voluntary, and occasional, and does not create any contractual or other right to receive future grants of options, or benefits in lieu of options, even if options have been granted in the past </w:t>
      </w:r>
    </w:p>
    <w:p>
      <w:pPr>
        <w:pStyle w:val="TextBody"/>
        <w:bidi w:val="0"/>
        <w:spacing w:before="240" w:after="0"/>
        <w:jc w:val="left"/>
        <w:rPr>
          <w:rFonts w:ascii="Times New Roman" w:hAnsi="Times New Roman"/>
          <w:sz w:val="20"/>
        </w:rPr>
      </w:pPr>
      <w:r>
        <w:rPr>
          <w:rFonts w:ascii="Times New Roman" w:hAnsi="Times New Roman"/>
          <w:sz w:val="20"/>
        </w:rPr>
        <w:t xml:space="preserve">(c) all decisions with respect to future options or other grants, if any, will be at the sole discretion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Participant is voluntarily participating in the Plan; </w:t>
      </w:r>
    </w:p>
    <w:p>
      <w:pPr>
        <w:pStyle w:val="TextBody"/>
        <w:bidi w:val="0"/>
        <w:spacing w:before="240" w:after="0"/>
        <w:jc w:val="left"/>
        <w:rPr>
          <w:rFonts w:ascii="Times New Roman" w:hAnsi="Times New Roman"/>
          <w:sz w:val="20"/>
        </w:rPr>
      </w:pPr>
      <w:r>
        <w:rPr>
          <w:rFonts w:ascii="Times New Roman" w:hAnsi="Times New Roman"/>
          <w:sz w:val="20"/>
        </w:rPr>
        <w:t xml:space="preserve">(e) the Option and Participant’s participation in the Plan will not create a right to employment or be interpreted as forming or amending an employment or service contract with the Company or the Employer, and will not interfere with the ability of the Company or the Employer, as applicable, to terminate Participant’s Service; </w:t>
      </w:r>
    </w:p>
    <w:p>
      <w:pPr>
        <w:pStyle w:val="TextBody"/>
        <w:bidi w:val="0"/>
        <w:spacing w:before="240" w:after="0"/>
        <w:jc w:val="left"/>
        <w:rPr>
          <w:rFonts w:ascii="Times New Roman" w:hAnsi="Times New Roman"/>
          <w:sz w:val="20"/>
        </w:rPr>
      </w:pPr>
      <w:r>
        <w:rPr>
          <w:rFonts w:ascii="Times New Roman" w:hAnsi="Times New Roman"/>
          <w:sz w:val="20"/>
        </w:rPr>
        <w:t xml:space="preserve">(f) the Option and the Shares subject to the Option, and the income and value of same, are not intended to replace any pension rights or compensation;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Option and the Shares subject to the Option, and the income and value of same, are not part of normal or expected compensation for any purpose, including, but not limited to, calculating any severance, resignation, termination, redundancy, dismissal, end-of-service payments, bonuses, long-service awards, pension or retirement, or welfare benefits or similar payments; </w:t>
      </w:r>
    </w:p>
    <w:p>
      <w:pPr>
        <w:pStyle w:val="TextBody"/>
        <w:bidi w:val="0"/>
        <w:spacing w:before="240" w:after="0"/>
        <w:jc w:val="left"/>
        <w:rPr>
          <w:rFonts w:ascii="Times New Roman" w:hAnsi="Times New Roman"/>
          <w:sz w:val="20"/>
        </w:rPr>
      </w:pPr>
      <w:r>
        <w:rPr>
          <w:rFonts w:ascii="Times New Roman" w:hAnsi="Times New Roman"/>
          <w:sz w:val="20"/>
        </w:rPr>
        <w:t xml:space="preserve">(h) unless otherwise agreed with the Company, the Option, and the Shares subject to the Option, and the income and value of same, are not granted as consideration for, or in connection with, the service Participant may provide as a director of a Parent, Subsidiary, or Affiliate; </w:t>
      </w:r>
    </w:p>
    <w:p>
      <w:pPr>
        <w:pStyle w:val="TextBody"/>
        <w:bidi w:val="0"/>
        <w:spacing w:before="240" w:after="0"/>
        <w:jc w:val="left"/>
        <w:rPr>
          <w:rFonts w:ascii="Times New Roman" w:hAnsi="Times New Roman"/>
          <w:sz w:val="20"/>
        </w:rPr>
      </w:pPr>
      <w:r>
        <w:rPr>
          <w:rFonts w:ascii="Times New Roman" w:hAnsi="Times New Roman"/>
          <w:sz w:val="20"/>
        </w:rPr>
        <w:t xml:space="preserve">(i) the future value of the Shares underlying the Option is unknown, indeterminable, and cannot be predicted with certainty; if the underlying Shares do not increase in value, the Option will have no value; if Participant exercises the Option and acquires Shares, the value of such Shares may increase or decrease, even below the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(j) no claim or entitlement to compensation or damages will arise from forfeiture of the Option resulting from Participant’s termination of Service (regardless of the reason for such termination and whether or not later found to be invalid or in breach of employment laws in the jurisdiction where Participant is employed or the terms of Participant’s employment agreement, if any), and in consideration of the grant of the Option to which Participant is otherwise not entitled, Participant irrevocably agrees never to institute any claim against the Employer, the Company, and any Parent, Subsidiary, or Affiliate; waives his or her ability, if any, to bring any such claim; and releases the Employer, the Company, and any Parent, Subsidiary, or Affiliate from any such claim; if, notwithstanding the foregoing, any such claim is allowed by a court of competent jurisdiction, then, by participating in the Plan, Participant will be deemed irrevocably to have agreed not to pursue such claim and agrees to execute any and all documents necessary to request dismissal or withdrawal of such claim; </w:t>
      </w:r>
    </w:p>
    <w:p>
      <w:pPr>
        <w:pStyle w:val="TextBody"/>
        <w:bidi w:val="0"/>
        <w:spacing w:before="240" w:after="0"/>
        <w:jc w:val="left"/>
        <w:rPr>
          <w:rFonts w:ascii="Times New Roman" w:hAnsi="Times New Roman"/>
          <w:sz w:val="20"/>
        </w:rPr>
      </w:pPr>
      <w:r>
        <w:rPr>
          <w:rFonts w:ascii="Times New Roman" w:hAnsi="Times New Roman"/>
          <w:sz w:val="20"/>
        </w:rPr>
        <w:t xml:space="preserve">(k) unless otherwise provided in the Plan or by the Company in its discretion, the Option and the benefits evidenced by this Option Agreement do not create any entitlement to have the Option or any such benefits transferred to, or assumed by, another company nor to be exchanged, cashed out or substituted for, in connection with any Corporate Transaction affecting the Shares; an </w:t>
      </w:r>
    </w:p>
    <w:p>
      <w:pPr>
        <w:pStyle w:val="TextBody"/>
        <w:bidi w:val="0"/>
        <w:spacing w:before="240" w:after="0"/>
        <w:jc w:val="left"/>
        <w:rPr>
          <w:rFonts w:ascii="Times New Roman" w:hAnsi="Times New Roman"/>
          <w:sz w:val="20"/>
        </w:rPr>
      </w:pPr>
      <w:r>
        <w:rPr>
          <w:rFonts w:ascii="Times New Roman" w:hAnsi="Times New Roman"/>
          <w:sz w:val="20"/>
        </w:rPr>
        <w:t xml:space="preserve">(l) neither the Employer, the Company, or any Parent, Subsidiary or Affiliate will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w:t>
      </w:r>
    </w:p>
    <w:p>
      <w:pPr>
        <w:pStyle w:val="TextBody"/>
        <w:bidi w:val="0"/>
        <w:spacing w:before="240" w:after="0"/>
        <w:jc w:val="left"/>
        <w:rPr>
          <w:rFonts w:ascii="Times New Roman" w:hAnsi="Times New Roman"/>
          <w:sz w:val="20"/>
        </w:rPr>
      </w:pPr>
      <w:r>
        <w:rPr>
          <w:rFonts w:ascii="Times New Roman" w:hAnsi="Times New Roman"/>
          <w:sz w:val="20"/>
        </w:rPr>
        <w:t xml:space="preserve">(m) the following provisions apply only if Participant is providing services outside the United States: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Option and the Shares subject to the Option are not part of normal or expected compensation or salary for any purpose;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acknowledges and agrees that neither the Company, the Employer nor any Parent or Subsidiary or Affiliate will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u w:val="single"/>
        </w:rPr>
        <w:t>No Advice Regarding Grant</w:t>
      </w:r>
      <w:r>
        <w:rPr>
          <w:rFonts w:ascii="Times New Roman" w:hAnsi="Times New Roman"/>
          <w:b/>
          <w:sz w:val="20"/>
        </w:rPr>
        <w:t>.</w:t>
      </w:r>
      <w:r>
        <w:rPr>
          <w:rFonts w:ascii="Times New Roman" w:hAnsi="Times New Roman"/>
          <w:sz w:val="20"/>
        </w:rPr>
        <w:t xml:space="preserve"> The Company is not providing any tax, legal or financial advice, nor is the Company making any recommendations regarding Participant’s participation in the Plan or Participant’s acquisition or sale of the underlying Shares. Participant acknowledges, understands, and agrees that he or she should consult with his or her own personal tax, legal, and financial advisors regarding his or her participation in the Plan before taking any action related to the Plan.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Data Privacy</w:t>
      </w:r>
      <w:r>
        <w:rPr>
          <w:rFonts w:ascii="Times New Roman" w:hAnsi="Times New Roman"/>
          <w:sz w:val="20"/>
        </w:rPr>
        <w:t xml:space="preserve">. Participant hereby explicitly and unambiguously consents to the collection, use and transfer, in electronic or other form, of Participant’s personal data as described in this Option Agreement and any other Option grant materials by and among, as applicable, the Employer, the Company and any Parent, Subsidiary or Affiliate for the exclusive purpose of implementing, administering and managing Participant’s participation in the Plan.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Participant understands that the Company and the Employer may hold certain personal information about Participant, including, but not limited to, Participant’s name, home address, email address and telephone number, date of birth, social insurance number, passport number or other identification number, salary, nationality, job title, any shares of stock or directorships held in the Company, details of all Options or any other entitlement to shares of stock awarded, canceled, exercised, vested, unvested or outstanding in Participant’s favor (“Data”), for the exclusive purpose of implementing, administering and managing the Plan. </w:t>
      </w:r>
    </w:p>
    <w:p>
      <w:pPr>
        <w:pStyle w:val="TextBody"/>
        <w:bidi w:val="0"/>
        <w:spacing w:before="240" w:after="0"/>
        <w:jc w:val="left"/>
        <w:rPr>
          <w:rFonts w:ascii="Times New Roman" w:hAnsi="Times New Roman"/>
          <w:sz w:val="20"/>
        </w:rPr>
      </w:pPr>
      <w:r>
        <w:rPr>
          <w:rFonts w:ascii="Times New Roman" w:hAnsi="Times New Roman"/>
          <w:b/>
          <w:i/>
          <w:sz w:val="20"/>
        </w:rPr>
        <w:t>Participant understands that Data will be transferred to the stock plan service provider as may be designated by the Company from time to time or its affiliates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the stock plan service provider as may be designated by the Company from time to time, and its affiliates,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and career with the Employer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u w:val="single"/>
        </w:rPr>
        <w:t>Language</w:t>
      </w:r>
      <w:r>
        <w:rPr>
          <w:rFonts w:ascii="Times New Roman" w:hAnsi="Times New Roman"/>
          <w:b/>
          <w:sz w:val="20"/>
        </w:rPr>
        <w:t>.</w:t>
      </w:r>
      <w:r>
        <w:rPr>
          <w:rFonts w:ascii="Times New Roman" w:hAnsi="Times New Roman"/>
          <w:sz w:val="20"/>
        </w:rPr>
        <w:t xml:space="preserve"> If Participant has received this Option Agreement, or any other document related to the Option and/or the Plan translated into a language other than English and if the meaning of the translated version is different than the English version, the English version will control.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u w:val="single"/>
        </w:rPr>
        <w:t>Appendix</w:t>
      </w:r>
      <w:r>
        <w:rPr>
          <w:rFonts w:ascii="Times New Roman" w:hAnsi="Times New Roman"/>
          <w:b/>
          <w:sz w:val="20"/>
        </w:rPr>
        <w:t>.</w:t>
      </w:r>
      <w:r>
        <w:rPr>
          <w:rFonts w:ascii="Times New Roman" w:hAnsi="Times New Roman"/>
          <w:sz w:val="20"/>
        </w:rPr>
        <w:t xml:space="preserve"> Notwithstanding any provisions in this Option Agreement, the Option will be subject to any special terms and conditions set forth in any Appendix to this Option Agreement for Participant’s country. Moreover, if Participant relocates to one of the countries included in the Appendix, the special terms and conditions for such country will apply to Participant, to the extent the Company determines that the application of such terms and conditions is necessary or advisable for legal or administrative reasons. The Appendix constitutes part of this Option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u w:val="single"/>
        </w:rPr>
        <w:t>Imposition of Other Requirements</w:t>
      </w:r>
      <w:r>
        <w:rPr>
          <w:rFonts w:ascii="Times New Roman" w:hAnsi="Times New Roman"/>
          <w:b/>
          <w:sz w:val="20"/>
        </w:rPr>
        <w:t>.</w:t>
      </w:r>
      <w:r>
        <w:rPr>
          <w:rFonts w:ascii="Times New Roman" w:hAnsi="Times New Roman"/>
          <w:sz w:val="20"/>
        </w:rPr>
        <w:t xml:space="preserve"> The Company reserves the right to impose other requirements on Participant’s participation in the Plan, on the Option, and on any Shares purchased upon exercise of the Option, to the extent the Company determines it is necessary or advisable for legal or administrative reasons, and to require Participant to sign any additional agreements or undertakings that may be necessary to accomplish the foregoing.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u w:val="single"/>
        </w:rPr>
        <w:t>Acknowledgement</w:t>
      </w:r>
      <w:r>
        <w:rPr>
          <w:rFonts w:ascii="Times New Roman" w:hAnsi="Times New Roman"/>
          <w:b/>
          <w:sz w:val="20"/>
        </w:rPr>
        <w:t>.</w:t>
      </w:r>
      <w:r>
        <w:rPr>
          <w:rFonts w:ascii="Times New Roman" w:hAnsi="Times New Roman"/>
          <w:sz w:val="20"/>
        </w:rPr>
        <w:t xml:space="preserve"> The Company and Participant agree that the Option is granted under and governed by the Notice, this Option Agreement and the Plan (incorporated herein by reference). Participant: (a) acknowledges receipt of a copy of the Plan and the Plan prospectus, (b) represents that Participant has carefully read and is familiar with their provisions, and (c) hereby accepts the Option subject to all of the terms and conditions set forth herein and those set forth in the Plan and the Notice.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u w:val="single"/>
        </w:rPr>
        <w:t>Entire Agreement; Enforcement of Rights</w:t>
      </w:r>
      <w:r>
        <w:rPr>
          <w:rFonts w:ascii="Times New Roman" w:hAnsi="Times New Roman"/>
          <w:b/>
          <w:sz w:val="20"/>
        </w:rPr>
        <w:t>.</w:t>
      </w:r>
      <w:r>
        <w:rPr>
          <w:rFonts w:ascii="Times New Roman" w:hAnsi="Times New Roman"/>
          <w:sz w:val="20"/>
        </w:rPr>
        <w:t xml:space="preserve"> This Option Agreement, the Plan, and the Notice constitute 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Option Agreement, nor any waiver of any rights under this Option Agreement, will be effective unless in writing and signed by the parties to this Option Agreement (which writing and signing may be electronic). The failure by either party to enforce any rights under this Option Agreement will not be construed as a waiver of any rights of such party.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u w:val="single"/>
        </w:rPr>
        <w:t>Compliance with Laws and Regulations</w:t>
      </w:r>
      <w:r>
        <w:rPr>
          <w:rFonts w:ascii="Times New Roman" w:hAnsi="Times New Roman"/>
          <w:b/>
          <w:sz w:val="20"/>
        </w:rPr>
        <w:t>.</w:t>
      </w:r>
      <w:r>
        <w:rPr>
          <w:rFonts w:ascii="Times New Roman" w:hAnsi="Times New Roman"/>
          <w:sz w:val="20"/>
        </w:rPr>
        <w:t xml:space="preserve"> The issuance of Shares and the sale of Shares will be subject to and conditioned upon compliance by the Company and Participant with all applicable state, federal, local and foreign laws and regulations and with all applicable requirements of any stock exchange or automated quotation system on which the Company’s Shares may be listed or quoted at the time of such issuance or transfer. Participant understands that the Company is under no obligation to register or qualify the Common Stock with any state, federal, or foreign securities commission or to seek approval or clearance from any governmental authority for the issuance or sale of the Shares. Further, Participant agrees that the Company will have unilateral authority to amend the Plan and this Option Agreement without Participant’s consent to the extent necessary to comply with securities or other laws applicable to issuance of Shares. Finally, the Shares issued pursuant to this Option Agreement will be endorsed with appropriate legends, if any, determined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b/>
          <w:sz w:val="20"/>
          <w:u w:val="single"/>
        </w:rPr>
        <w:t>Severability</w:t>
      </w:r>
      <w:r>
        <w:rPr>
          <w:rFonts w:ascii="Times New Roman" w:hAnsi="Times New Roman"/>
          <w:b/>
          <w:sz w:val="20"/>
        </w:rPr>
        <w:t>.</w:t>
      </w:r>
      <w:r>
        <w:rPr>
          <w:rFonts w:ascii="Times New Roman" w:hAnsi="Times New Roman"/>
          <w:sz w:val="20"/>
        </w:rPr>
        <w:t xml:space="preserve"> If one or more provisions of this Option Agreement are held to be unenforceable under applicable law, the parties agree to renegotiate such provision in good faith. In the event that the parties cannot reach a mutually agreeable and enforceable replacement for such provision, then (a) such provision will be excluded from this Option Agreement, (b) the balance of this Option Agreement will be interpreted as if such provision were so excluded and (c) the balance of this Option Agreement will be enforceable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b/>
          <w:sz w:val="20"/>
          <w:u w:val="single"/>
        </w:rPr>
        <w:t>Governing Law and Venue</w:t>
      </w:r>
      <w:r>
        <w:rPr>
          <w:rFonts w:ascii="Times New Roman" w:hAnsi="Times New Roman"/>
          <w:b/>
          <w:sz w:val="20"/>
        </w:rPr>
        <w:t>.</w:t>
      </w:r>
      <w:r>
        <w:rPr>
          <w:rFonts w:ascii="Times New Roman" w:hAnsi="Times New Roman"/>
          <w:sz w:val="20"/>
        </w:rPr>
        <w:t xml:space="preserve"> This Option Agreement and all acts and transactions pursuant hereto and the rights and obligations of the parties hereto will be governed, construed and interpreted in accordance with the laws of the State of Delaware, without giving effect to such state’s conflict of laws rules. </w:t>
      </w:r>
    </w:p>
    <w:p>
      <w:pPr>
        <w:pStyle w:val="TextBody"/>
        <w:bidi w:val="0"/>
        <w:spacing w:before="240" w:after="0"/>
        <w:jc w:val="left"/>
        <w:rPr>
          <w:rFonts w:ascii="Times New Roman" w:hAnsi="Times New Roman"/>
          <w:sz w:val="20"/>
        </w:rPr>
      </w:pPr>
      <w:r>
        <w:rPr>
          <w:rFonts w:ascii="Times New Roman" w:hAnsi="Times New Roman"/>
          <w:sz w:val="20"/>
        </w:rPr>
        <w:t xml:space="preserve">Any and all disputes relating to, concerning or arising from this Option Agreement, or relating to, concerning or arising from the relationship between the parties evidenced by the Plan or this Option Agreement, will be brought and heard exclusively in the U.S. District Court for the District of Massachusetts or the Massachusetts Superior Court, Middlesex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b/>
          <w:sz w:val="20"/>
          <w:u w:val="single"/>
        </w:rPr>
        <w:t>No Rights as an Employee</w:t>
      </w:r>
      <w:r>
        <w:rPr>
          <w:rFonts w:ascii="Times New Roman" w:hAnsi="Times New Roman"/>
          <w:b/>
          <w:sz w:val="20"/>
        </w:rPr>
        <w:t>.</w:t>
      </w:r>
      <w:r>
        <w:rPr>
          <w:rFonts w:ascii="Times New Roman" w:hAnsi="Times New Roman"/>
          <w:sz w:val="20"/>
        </w:rPr>
        <w:t xml:space="preserve"> Nothing in this Option Agreement will affect in any manner whatsoever any right or power of the Employer or the Company to terminate Participant’s Service, for any reason, with or without Cause.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u w:val="single"/>
        </w:rPr>
        <w:t>Consent to Electronic Delivery of All Plan Documents and Disclosures</w:t>
      </w:r>
      <w:r>
        <w:rPr>
          <w:rFonts w:ascii="Times New Roman" w:hAnsi="Times New Roman"/>
          <w:b/>
          <w:sz w:val="20"/>
        </w:rPr>
        <w:t>.</w:t>
      </w:r>
      <w:r>
        <w:rPr>
          <w:rFonts w:ascii="Times New Roman" w:hAnsi="Times New Roman"/>
          <w:sz w:val="20"/>
        </w:rPr>
        <w:t xml:space="preserve"> By Participant’s acceptance of the Notice (whether in writing or electronically), Participant and the Company agree that the Option is granted under and governed by the terms and conditions of the Plan, the Notice, and this Option Agreement. Participant has reviewed the Plan, the Notice, and this Option Agreement in their entirety, has had an opportunity to obtain the advice of counsel prior to executing the Notice and Agreement, and fully understands all provisions of the Plan, the Notice, and this Option Agreement. Participant hereby agrees to accept as binding, conclusive, and final all decisions or interpretations of the Committee upon any questions relating to the Plan, the Notice, and this Option Agreement. Participant further agrees to notify the Company upon any change in Participant’s residence address. By acceptance of the Option, Participant agrees to participate in the Plan through an on-line or electronic system established and maintained by the Company or a third party designated by the Company and consents to the electronic delivery of the Notice, this Option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the Company intranet or the internet site of 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Stock Administration.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Stock Administration. Finally, Participant understands that Participant is not required to consent to electronic delivery if local laws prohibit such consent.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u w:val="single"/>
        </w:rPr>
        <w:t>Insider Trading Restrictions/Market Abuse Laws</w:t>
      </w:r>
      <w:r>
        <w:rPr>
          <w:rFonts w:ascii="Times New Roman" w:hAnsi="Times New Roman"/>
          <w:b/>
          <w:sz w:val="20"/>
        </w:rPr>
        <w:t>.</w:t>
      </w:r>
      <w:r>
        <w:rPr>
          <w:rFonts w:ascii="Times New Roman" w:hAnsi="Times New Roman"/>
          <w:sz w:val="20"/>
        </w:rPr>
        <w:t xml:space="preserve"> Participant acknowledges that, depending on Participant’s country, Participant may be subject to insider trading restrictions and/or market abuse laws, which may affect Participant’s ability to acquire or sell the Shares or rights to Shares under the Plan during such times as Participant is considered to have “inside information” regarding the Company (as defined by the laws in Participant’s country).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understands that Participant should consult his or her personal legal advisor on such matters. In addition, Participant acknowledges that he or she has read the Company’s Insider Trading Policy, and agrees to comply with such policy, as it may be amended from time to time, whenever Participant acquires or disposes of the Company’s securities.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b/>
          <w:sz w:val="20"/>
          <w:u w:val="single"/>
        </w:rPr>
        <w:t>Award Subject to Company Clawback or Recoupment</w:t>
      </w:r>
      <w:r>
        <w:rPr>
          <w:rFonts w:ascii="Times New Roman" w:hAnsi="Times New Roman"/>
          <w:b/>
          <w:sz w:val="20"/>
        </w:rPr>
        <w:t>.</w:t>
      </w:r>
      <w:r>
        <w:rPr>
          <w:rFonts w:ascii="Times New Roman" w:hAnsi="Times New Roman"/>
          <w:sz w:val="20"/>
        </w:rPr>
        <w:t xml:space="preserve"> To the extent permitted by applicable law, the Option will be subject to clawback or recoupment pursuant to any compensation clawback or recoupment policy adopted by the Board or required by law during the term of Participant’s employment or other Service that is applicable to Participant. In addition to any other remedies available under such policy and applicable law, the Company may require the cancellation of Participant’s Option (whether vested or unvested) and the recoupment of any gains realized with respect to Participant’s Option. </w:t>
      </w:r>
    </w:p>
    <w:p>
      <w:pPr>
        <w:pStyle w:val="TextBody"/>
        <w:bidi w:val="0"/>
        <w:spacing w:before="240" w:after="0"/>
        <w:jc w:val="left"/>
        <w:rPr>
          <w:rFonts w:ascii="Times New Roman" w:hAnsi="Times New Roman"/>
          <w:b/>
          <w:sz w:val="20"/>
        </w:rPr>
      </w:pPr>
      <w:r>
        <w:rPr>
          <w:rFonts w:ascii="Times New Roman" w:hAnsi="Times New Roman"/>
          <w:b/>
          <w:sz w:val="20"/>
        </w:rPr>
        <w:t xml:space="preserve">BY ACCEPTING THIS OPTION, PARTICIPANT AGREES TO ALL OF THE TERMS AND CONDITIONS DESCRIBED ABOVE AND IN THE PLAN. </w:t>
      </w:r>
    </w:p>
    <w:p>
      <w:pPr>
        <w:pStyle w:val="TextBody"/>
        <w:bidi w:val="0"/>
        <w:spacing w:before="480" w:after="0"/>
        <w:jc w:val="center"/>
        <w:rPr>
          <w:rFonts w:ascii="Times New Roman" w:hAnsi="Times New Roman"/>
          <w:b/>
          <w:sz w:val="20"/>
        </w:rPr>
      </w:pPr>
      <w:r>
        <w:rPr>
          <w:rFonts w:ascii="Times New Roman" w:hAnsi="Times New Roman"/>
          <w:b/>
          <w:sz w:val="20"/>
        </w:rPr>
        <w:t xml:space="preserve">APPENDIX </w:t>
      </w:r>
    </w:p>
    <w:p>
      <w:pPr>
        <w:pStyle w:val="TextBody"/>
        <w:bidi w:val="0"/>
        <w:spacing w:before="0" w:after="0"/>
        <w:jc w:val="center"/>
        <w:rPr>
          <w:rFonts w:ascii="Times New Roman" w:hAnsi="Times New Roman"/>
          <w:b/>
          <w:sz w:val="20"/>
        </w:rPr>
      </w:pPr>
      <w:r>
        <w:rPr>
          <w:rFonts w:ascii="Times New Roman" w:hAnsi="Times New Roman"/>
          <w:b/>
          <w:sz w:val="20"/>
        </w:rPr>
        <w:t xml:space="preserve">STOKE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2023 INDUCEMENT PLAN </w:t>
      </w:r>
    </w:p>
    <w:p>
      <w:pPr>
        <w:pStyle w:val="TextBody"/>
        <w:bidi w:val="0"/>
        <w:spacing w:before="0" w:after="0"/>
        <w:jc w:val="center"/>
        <w:rPr>
          <w:rFonts w:ascii="Times New Roman" w:hAnsi="Times New Roman"/>
          <w:b/>
          <w:sz w:val="20"/>
        </w:rPr>
      </w:pPr>
      <w:r>
        <w:rPr>
          <w:rFonts w:ascii="Times New Roman" w:hAnsi="Times New Roman"/>
          <w:b/>
          <w:sz w:val="20"/>
        </w:rPr>
        <w:t xml:space="preserve">STOCK OPTION AWARD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COUNTRY SPECIFIC PROVISIONS FOR EMPLOYEES OUTSIDE THE U.S. </w:t>
      </w:r>
    </w:p>
    <w:p>
      <w:pPr>
        <w:pStyle w:val="TextBody"/>
        <w:bidi w:val="0"/>
        <w:spacing w:before="240" w:after="0"/>
        <w:jc w:val="left"/>
        <w:rPr>
          <w:rFonts w:ascii="Times New Roman" w:hAnsi="Times New Roman"/>
          <w:b/>
          <w:i/>
          <w:sz w:val="20"/>
        </w:rPr>
      </w:pPr>
      <w:r>
        <w:rPr>
          <w:rFonts w:ascii="Times New Roman" w:hAnsi="Times New Roman"/>
          <w:b/>
          <w:i/>
          <w:sz w:val="20"/>
        </w:rPr>
        <w:t xml:space="preserve">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This Appendix includes additional terms and conditions that govern the Option granted to Participant under the Plan if Participant resides and/or works in one of the countries below. This Appendix forms part of the Option Agreement. Any capitalized term used in this Appendix without definition will have the meaning ascribed to it in the Notice, the Option Agreement, or the Plan,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If Participant is a citizen or resident of a country, or is considered resident of a country, other than the one in which Participant is currently working, or Participant transfers employment and/or residency between countries after the Date of Grant, the Company will, in its sole discretion, determine to what extent the additional terms and conditions included herein will apply to Participant under these circumstances.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Notifications </w:t>
      </w:r>
    </w:p>
    <w:p>
      <w:pPr>
        <w:pStyle w:val="TextBody"/>
        <w:bidi w:val="0"/>
        <w:spacing w:before="120" w:after="0"/>
        <w:jc w:val="left"/>
        <w:rPr>
          <w:rFonts w:ascii="Times New Roman" w:hAnsi="Times New Roman"/>
          <w:sz w:val="20"/>
        </w:rPr>
      </w:pPr>
      <w:r>
        <w:rPr>
          <w:rFonts w:ascii="Times New Roman" w:hAnsi="Times New Roman"/>
          <w:sz w:val="20"/>
        </w:rPr>
        <w:t xml:space="preserve">This Appendix also includes information relating to exchange control, securities laws, foreign asset/account reporting, and other issues of which Participant should be aware with respect to Participant’s participation in the Plan. The information is based on the securities, exchange control, foreign asset/account reporting, and other laws in effect in the respective countries as of April 5, 2023. Such laws are complex and change frequently. As a result, Participant should not rely on the information herein as the only source of information relating to the consequences of Participant’s participation in the Plan because the information may be out of date at the time that Participant exercises the Option, sells Shares acquired under the Plan, or takes any other action in connection with the Plan.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Participant’s situation. </w:t>
      </w:r>
    </w:p>
    <w:p>
      <w:pPr>
        <w:pStyle w:val="TextBody"/>
        <w:bidi w:val="0"/>
        <w:spacing w:before="240" w:after="0"/>
        <w:jc w:val="left"/>
        <w:rPr>
          <w:rFonts w:ascii="Times New Roman" w:hAnsi="Times New Roman"/>
          <w:sz w:val="20"/>
        </w:rPr>
      </w:pPr>
      <w:r>
        <w:rPr>
          <w:rFonts w:ascii="Times New Roman" w:hAnsi="Times New Roman"/>
          <w:sz w:val="20"/>
        </w:rPr>
        <w:t xml:space="preserve">Finally, if Participant is a citizen or resident of a country, or is considered resident of a country, other than the one in which Participant is currently working and/or residing, or Participant transfers employment and/or residency after the Date of Grant, the information contained herein may not apply to Participant in the same manner. </w:t>
      </w:r>
    </w:p>
    <w:p>
      <w:pPr>
        <w:pStyle w:val="TextBody"/>
        <w:bidi w:val="0"/>
        <w:spacing w:before="480" w:after="0"/>
        <w:jc w:val="center"/>
        <w:rPr>
          <w:rFonts w:ascii="Times New Roman" w:hAnsi="Times New Roman"/>
          <w:b/>
          <w:sz w:val="20"/>
        </w:rPr>
      </w:pPr>
      <w:r>
        <w:rPr>
          <w:rFonts w:ascii="Times New Roman" w:hAnsi="Times New Roman"/>
          <w:b/>
          <w:sz w:val="20"/>
        </w:rPr>
        <w:t xml:space="preserve">APPENDIX </w:t>
      </w:r>
    </w:p>
    <w:p>
      <w:pPr>
        <w:pStyle w:val="TextBody"/>
        <w:bidi w:val="0"/>
        <w:spacing w:before="120" w:after="0"/>
        <w:jc w:val="center"/>
        <w:rPr>
          <w:rFonts w:ascii="Times New Roman" w:hAnsi="Times New Roman"/>
          <w:b/>
          <w:sz w:val="20"/>
        </w:rPr>
      </w:pPr>
      <w:r>
        <w:rPr>
          <w:rFonts w:ascii="Times New Roman" w:hAnsi="Times New Roman"/>
          <w:b/>
          <w:sz w:val="20"/>
        </w:rPr>
        <w:t xml:space="preserve">STOKE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2023 INDUCEMENT PLAN </w:t>
      </w:r>
    </w:p>
    <w:p>
      <w:pPr>
        <w:pStyle w:val="TextBody"/>
        <w:bidi w:val="0"/>
        <w:spacing w:before="0" w:after="0"/>
        <w:jc w:val="center"/>
        <w:rPr>
          <w:rFonts w:ascii="Times New Roman" w:hAnsi="Times New Roman"/>
          <w:b/>
          <w:sz w:val="20"/>
        </w:rPr>
      </w:pPr>
      <w:r>
        <w:rPr>
          <w:rFonts w:ascii="Times New Roman" w:hAnsi="Times New Roman"/>
          <w:b/>
          <w:sz w:val="20"/>
        </w:rPr>
        <w:t xml:space="preserve">STOCK OPTION AWARD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COUNTRY SPECIFIC PROVISIONS FOR EMPLOYEES OUTSIDE THE U.S. </w:t>
      </w:r>
    </w:p>
    <w:p>
      <w:pPr>
        <w:pStyle w:val="TextBody"/>
        <w:bidi w:val="0"/>
        <w:spacing w:before="120" w:after="0"/>
        <w:jc w:val="center"/>
        <w:rPr>
          <w:rFonts w:ascii="Times New Roman" w:hAnsi="Times New Roman"/>
          <w:sz w:val="20"/>
        </w:rPr>
      </w:pPr>
      <w:r>
        <w:rPr>
          <w:rFonts w:ascii="Times New Roman" w:hAnsi="Times New Roman"/>
          <w:sz w:val="20"/>
        </w:rPr>
        <w:t xml:space="preserve">None </w:t>
      </w:r>
    </w:p>
    <w:p>
      <w:pPr>
        <w:pStyle w:val="Normal"/>
        <w:bidi w:val="0"/>
        <w:spacing w:before="0" w:after="0"/>
        <w:jc w:val="left"/>
        <w:rPr>
          <w:sz w:val="4"/>
          <w:szCs w:val="4"/>
        </w:rPr>
      </w:pPr>
      <w:r>
        <w:rPr>
          <w:sz w:val="4"/>
          <w:szCs w:val="4"/>
        </w:rPr>
      </w:r>
      <w:bookmarkStart w:id="9" w:name="d63235dexfilingfees.htm"/>
      <w:bookmarkStart w:id="10" w:name="ksd63235dexfilingfees"/>
      <w:bookmarkStart w:id="11" w:name="d63235dexfilingfees.htm"/>
      <w:bookmarkStart w:id="12" w:name="ksd63235dexfilingfees"/>
      <w:bookmarkEnd w:id="11"/>
      <w:bookmarkEnd w:id="12"/>
      <w:r>
        <w:br w:type="page"/>
      </w:r>
    </w:p>
    <w:tbl>
      <w:tblPr>
        <w:tblW w:w="3575" w:type="dxa"/>
        <w:jc w:val="left"/>
        <w:tblInd w:w="0" w:type="dxa"/>
        <w:tblLayout w:type="fixed"/>
        <w:tblCellMar>
          <w:top w:w="28" w:type="dxa"/>
          <w:left w:w="28" w:type="dxa"/>
          <w:bottom w:w="28" w:type="dxa"/>
          <w:right w:w="28" w:type="dxa"/>
        </w:tblCellMar>
      </w:tblPr>
      <w:tblGrid>
        <w:gridCol w:w="3421"/>
        <w:gridCol w:w="154"/>
      </w:tblGrid>
      <w:tr>
        <w:trPr/>
        <w:tc>
          <w:tcPr>
            <w:tcW w:w="357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b/>
              </w:rPr>
            </w:pPr>
            <w:r>
              <w:rPr>
                <w:b/>
              </w:rPr>
              <w:t xml:space="preserve">Stoke Therapeutics,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6"/>
        <w:gridCol w:w="1046"/>
        <w:gridCol w:w="1292"/>
        <w:gridCol w:w="1201"/>
        <w:gridCol w:w="1213"/>
        <w:gridCol w:w="1701"/>
        <w:gridCol w:w="1126"/>
        <w:gridCol w:w="1429"/>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3"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6" w:type="dxa"/>
            <w:tcBorders/>
            <w:shd w:fill="E7E7E2" w:val="clear"/>
            <w:vAlign w:val="center"/>
          </w:tcPr>
          <w:p>
            <w:pPr>
              <w:pStyle w:val="TableContents"/>
              <w:bidi w:val="0"/>
              <w:spacing w:before="0" w:after="283"/>
              <w:jc w:val="left"/>
              <w:rPr/>
            </w:pPr>
            <w:r>
              <w:rPr/>
              <w:t xml:space="preserve">Common Stock, par value $0.0001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2,000,000 </w:t>
            </w:r>
          </w:p>
        </w:tc>
        <w:tc>
          <w:tcPr>
            <w:tcW w:w="1213" w:type="dxa"/>
            <w:tcBorders/>
            <w:shd w:fill="E7E7E2" w:val="clear"/>
            <w:vAlign w:val="center"/>
          </w:tcPr>
          <w:p>
            <w:pPr>
              <w:pStyle w:val="TableContents"/>
              <w:bidi w:val="0"/>
              <w:spacing w:before="0" w:after="283"/>
              <w:jc w:val="right"/>
              <w:rPr/>
            </w:pPr>
            <w:r>
              <w:rPr/>
              <w:t xml:space="preserve">$ 29.19 </w:t>
            </w:r>
          </w:p>
        </w:tc>
        <w:tc>
          <w:tcPr>
            <w:tcW w:w="1701" w:type="dxa"/>
            <w:tcBorders/>
            <w:shd w:fill="E7E7E2" w:val="clear"/>
            <w:vAlign w:val="center"/>
          </w:tcPr>
          <w:p>
            <w:pPr>
              <w:pStyle w:val="TableContents"/>
              <w:bidi w:val="0"/>
              <w:spacing w:before="0" w:after="283"/>
              <w:jc w:val="right"/>
              <w:rPr/>
            </w:pPr>
            <w:r>
              <w:rPr/>
              <w:t xml:space="preserve">$ 58,380,000.00 </w:t>
            </w:r>
          </w:p>
        </w:tc>
        <w:tc>
          <w:tcPr>
            <w:tcW w:w="1126"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$ 8,063.00 </w:t>
            </w:r>
          </w:p>
        </w:tc>
      </w:tr>
      <w:tr>
        <w:trPr/>
        <w:tc>
          <w:tcPr>
            <w:tcW w:w="4736" w:type="dxa"/>
            <w:gridSpan w:val="5"/>
            <w:tcBorders/>
            <w:vAlign w:val="center"/>
          </w:tcPr>
          <w:p>
            <w:pPr>
              <w:pStyle w:val="TableContents"/>
              <w:bidi w:val="0"/>
              <w:spacing w:before="0" w:after="0"/>
              <w:ind w:left="0" w:right="0" w:hanging="0"/>
              <w:jc w:val="right"/>
              <w:rPr/>
            </w:pPr>
            <w:r>
              <w:rPr/>
              <w:t>Total Offering Amounts:</w:t>
            </w:r>
          </w:p>
        </w:tc>
        <w:tc>
          <w:tcPr>
            <w:tcW w:w="121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0"/>
              <w:ind w:left="0" w:right="0" w:hanging="0"/>
              <w:jc w:val="right"/>
              <w:rPr/>
            </w:pPr>
            <w:bookmarkStart w:id="13" w:name="MaxAggtOfferingPrice"/>
            <w:bookmarkEnd w:id="13"/>
            <w:r>
              <w:rPr/>
              <w:t xml:space="preserve">$ 58,380,000.00 </w:t>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4" w:name="TotalFeeAmt"/>
            <w:bookmarkEnd w:id="14"/>
            <w:r>
              <w:rPr/>
              <w:t xml:space="preserve">$ 8,063.00 </w:t>
            </w:r>
          </w:p>
        </w:tc>
      </w:tr>
      <w:tr>
        <w:trPr/>
        <w:tc>
          <w:tcPr>
            <w:tcW w:w="4736" w:type="dxa"/>
            <w:gridSpan w:val="5"/>
            <w:tcBorders/>
            <w:vAlign w:val="center"/>
          </w:tcPr>
          <w:p>
            <w:pPr>
              <w:pStyle w:val="TableContents"/>
              <w:bidi w:val="0"/>
              <w:spacing w:before="0" w:after="0"/>
              <w:ind w:left="0" w:right="0" w:hanging="0"/>
              <w:jc w:val="right"/>
              <w:rPr/>
            </w:pPr>
            <w:r>
              <w:rPr/>
              <w:t xml:space="preserve">Total Fee Offsets: </w:t>
            </w:r>
          </w:p>
        </w:tc>
        <w:tc>
          <w:tcPr>
            <w:tcW w:w="121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5" w:name="TotalOffsetAmt"/>
            <w:bookmarkEnd w:id="15"/>
            <w:r>
              <w:rPr/>
              <w:t xml:space="preserve">$ 0.00 </w:t>
            </w:r>
          </w:p>
        </w:tc>
      </w:tr>
      <w:tr>
        <w:trPr/>
        <w:tc>
          <w:tcPr>
            <w:tcW w:w="4736" w:type="dxa"/>
            <w:gridSpan w:val="5"/>
            <w:tcBorders/>
            <w:vAlign w:val="center"/>
          </w:tcPr>
          <w:p>
            <w:pPr>
              <w:pStyle w:val="TableContents"/>
              <w:bidi w:val="0"/>
              <w:spacing w:before="0" w:after="0"/>
              <w:ind w:left="0" w:right="0" w:hanging="0"/>
              <w:jc w:val="right"/>
              <w:rPr/>
            </w:pPr>
            <w:r>
              <w:rPr/>
              <w:t xml:space="preserve">Net Fee Due: </w:t>
            </w:r>
          </w:p>
        </w:tc>
        <w:tc>
          <w:tcPr>
            <w:tcW w:w="121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6" w:name="NetFeeAmt"/>
            <w:bookmarkEnd w:id="16"/>
            <w:r>
              <w:rPr/>
              <w:t xml:space="preserve">$ 8,063.00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(a) Pursuant to Rule 416(a) under the Securities Act of 1933, as amended (the "Securities Act"), this Registration Statement shall also cover any additional shares of the Registrant's common stock, par value $0.0001 per share ("Common Stock") that become issuable in respect of the securities identified in the above table by reason of any stock dividend, stock split, recapitalization or other similar transaction effected without the receipt of consideration that increases the number of the Registrant's outstanding shares of Common Stock. (b) The shares registered represent additional shares of Common Stock reserved for issuance upon the exercise of stock options and the settlement of restricted stock unit awards under the Registrant's Amended and Restated 2023 Inducement Plan to certain employees as a material inducement to their acceptance of employment with the Registrant in accordance with Nasdaq Listing Rule 5635(c)(4). (c) Proposed maximum offering price per unit estimated in accordance with Rule 457(c) and (h) under the Securities Act solely for the purpose of calculating the registration fee on the basis of $29.19, the average of the high and low prices of the Registrant's Common Stock as reported on The Nasdaq Global Select Market on July 28, 2026.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23526/000119312523100506/0001193125-23-100506-index.htm" TargetMode="External"/><Relationship Id="rId3" Type="http://schemas.openxmlformats.org/officeDocument/2006/relationships/hyperlink" Target="http://www.sec.gov/Archives/edgar/data/d31790ds8.htm/000119312525157079/0001193125-25-157079-index.html" TargetMode="External"/><Relationship Id="rId4" Type="http://schemas.openxmlformats.org/officeDocument/2006/relationships/hyperlink" Target="http://www.sec.gov/Archives/edgar/data/../../../ix?doc=/Archives/edgar/data/1623526/000119312526108362/stok-20251231.htm" TargetMode="External"/><Relationship Id="rId5" Type="http://schemas.openxmlformats.org/officeDocument/2006/relationships/hyperlink" Target="http://www.sec.gov/Archives/edgar/data/1623526/000119312519170268/d762657d8a12b.htm" TargetMode="External"/><Relationship Id="rId6" Type="http://schemas.openxmlformats.org/officeDocument/2006/relationships/hyperlink" Target="http://www.sec.gov/Archives/edgar/data/1623526/000095017024035912/stok-ex3_1.htm" TargetMode="External"/><Relationship Id="rId7" Type="http://schemas.openxmlformats.org/officeDocument/2006/relationships/hyperlink" Target="http://www.sec.gov/Archives/edgar/data/1623526/000119312523024123/d427161dex31.htm" TargetMode="External"/><Relationship Id="rId8" Type="http://schemas.openxmlformats.org/officeDocument/2006/relationships/hyperlink" Target="http://www.sec.gov/Archives/edgar/data/1623526/000119312519167576/d675029dex41.htm" TargetMode="Externa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22787</Words>
  <Characters>121601</Characters>
  <CharactersWithSpaces>144597</CharactersWithSpaces>
  <Paragraphs>931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